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CB017" w14:textId="77777777" w:rsidR="00C225D1" w:rsidRDefault="00C70B72">
      <w:bookmarkStart w:id="0" w:name="_GoBack"/>
      <w:bookmarkEnd w:id="0"/>
      <w:r>
        <w:rPr>
          <w:noProof/>
          <w:lang w:eastAsia="en-GB"/>
        </w:rPr>
        <w:drawing>
          <wp:anchor distT="0" distB="0" distL="114300" distR="114300" simplePos="0" relativeHeight="251660288" behindDoc="0" locked="0" layoutInCell="1" allowOverlap="1" wp14:anchorId="72C5DDE1" wp14:editId="07777777">
            <wp:simplePos x="0" y="0"/>
            <wp:positionH relativeFrom="column">
              <wp:posOffset>6343650</wp:posOffset>
            </wp:positionH>
            <wp:positionV relativeFrom="paragraph">
              <wp:posOffset>0</wp:posOffset>
            </wp:positionV>
            <wp:extent cx="2800350" cy="925830"/>
            <wp:effectExtent l="0" t="0" r="0" b="7620"/>
            <wp:wrapSquare wrapText="bothSides"/>
            <wp:docPr id="2" name="Picture 2" descr="TEACCH – Roddensval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CCH – Roddensvale Schoo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0350"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C225D1" w:rsidRPr="00434C77">
        <w:rPr>
          <w:rFonts w:ascii="Arial" w:eastAsia="MS Mincho" w:hAnsi="Arial" w:cs="Arial"/>
          <w:b/>
          <w:noProof/>
          <w:sz w:val="72"/>
          <w:szCs w:val="72"/>
          <w:lang w:eastAsia="en-GB"/>
        </w:rPr>
        <w:drawing>
          <wp:anchor distT="0" distB="0" distL="114300" distR="114300" simplePos="0" relativeHeight="251659264" behindDoc="0" locked="0" layoutInCell="1" allowOverlap="1" wp14:anchorId="0213399D" wp14:editId="3695DE5A">
            <wp:simplePos x="0" y="0"/>
            <wp:positionH relativeFrom="margin">
              <wp:posOffset>-374650</wp:posOffset>
            </wp:positionH>
            <wp:positionV relativeFrom="paragraph">
              <wp:posOffset>0</wp:posOffset>
            </wp:positionV>
            <wp:extent cx="1390650" cy="931545"/>
            <wp:effectExtent l="0" t="0" r="0" b="1905"/>
            <wp:wrapSquare wrapText="bothSides"/>
            <wp:docPr id="19" name="Picture 1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C225D1" w:rsidRDefault="00C225D1"/>
    <w:p w14:paraId="0A37501D" w14:textId="77777777" w:rsidR="00C225D1" w:rsidRDefault="00C225D1"/>
    <w:p w14:paraId="5DAB6C7B" w14:textId="77777777" w:rsidR="00094728" w:rsidRDefault="00094728"/>
    <w:p w14:paraId="02EB378F" w14:textId="77777777" w:rsidR="00C225D1" w:rsidRDefault="00C225D1"/>
    <w:p w14:paraId="6A05A809" w14:textId="77777777" w:rsidR="00C225D1" w:rsidRDefault="00C225D1"/>
    <w:p w14:paraId="5A39BBE3" w14:textId="77777777" w:rsidR="00C225D1" w:rsidRDefault="00C225D1"/>
    <w:p w14:paraId="2B0A3F4C" w14:textId="77777777" w:rsidR="00C225D1" w:rsidRDefault="00C70B72" w:rsidP="00C225D1">
      <w:pPr>
        <w:jc w:val="center"/>
        <w:rPr>
          <w:rFonts w:ascii="Comic Sans MS" w:hAnsi="Comic Sans MS"/>
          <w:i/>
          <w:color w:val="70AD47" w:themeColor="accent6"/>
          <w:sz w:val="96"/>
        </w:rPr>
      </w:pPr>
      <w:r>
        <w:rPr>
          <w:rFonts w:ascii="Comic Sans MS" w:hAnsi="Comic Sans MS"/>
          <w:i/>
          <w:color w:val="70AD47" w:themeColor="accent6"/>
          <w:sz w:val="96"/>
        </w:rPr>
        <w:t>TEACCH</w:t>
      </w:r>
      <w:r w:rsidR="00C225D1">
        <w:rPr>
          <w:rFonts w:ascii="Comic Sans MS" w:hAnsi="Comic Sans MS"/>
          <w:i/>
          <w:color w:val="70AD47" w:themeColor="accent6"/>
          <w:sz w:val="96"/>
        </w:rPr>
        <w:t xml:space="preserve"> AT GREEN LANE</w:t>
      </w:r>
    </w:p>
    <w:p w14:paraId="18EC0DFD" w14:textId="77777777" w:rsidR="00C225D1" w:rsidRDefault="00C225D1" w:rsidP="00C225D1">
      <w:pPr>
        <w:rPr>
          <w:rFonts w:ascii="Comic Sans MS" w:hAnsi="Comic Sans MS"/>
          <w:i/>
        </w:rPr>
      </w:pPr>
      <w:r>
        <w:rPr>
          <w:rFonts w:ascii="Comic Sans MS" w:hAnsi="Comic Sans MS"/>
          <w:i/>
        </w:rPr>
        <w:t xml:space="preserve">                                  </w:t>
      </w:r>
    </w:p>
    <w:p w14:paraId="001CDC0E" w14:textId="77777777" w:rsidR="00C70B72" w:rsidRDefault="00C70B72" w:rsidP="00C70B72">
      <w:pPr>
        <w:rPr>
          <w:rFonts w:ascii="Comic Sans MS" w:hAnsi="Comic Sans MS"/>
        </w:rPr>
      </w:pPr>
      <w:r>
        <w:rPr>
          <w:rFonts w:ascii="Comic Sans MS" w:hAnsi="Comic Sans MS"/>
        </w:rPr>
        <w:t>Green Lane School follows the 5 key principles of TEACCH across all classes (structure, consistent schedules, and establishment of expectations, maintenance of routine and implementation of visual cues).</w:t>
      </w:r>
    </w:p>
    <w:p w14:paraId="41C8F396" w14:textId="77777777" w:rsidR="00D379C7" w:rsidRDefault="00D379C7" w:rsidP="00C70B72">
      <w:pPr>
        <w:rPr>
          <w:rFonts w:ascii="Comic Sans MS" w:hAnsi="Comic Sans MS"/>
        </w:rPr>
      </w:pPr>
    </w:p>
    <w:p w14:paraId="241BA946" w14:textId="77777777" w:rsidR="00D379C7" w:rsidRDefault="00D379C7" w:rsidP="00C70B72">
      <w:pPr>
        <w:rPr>
          <w:rFonts w:ascii="Comic Sans MS" w:hAnsi="Comic Sans MS"/>
        </w:rPr>
      </w:pPr>
      <w:r>
        <w:rPr>
          <w:rFonts w:ascii="Comic Sans MS" w:hAnsi="Comic Sans MS"/>
        </w:rPr>
        <w:t>TEACCH covers: visual structure, physical structure and work systems. Our learning environments are set up to best support our pupil’s needs.</w:t>
      </w:r>
    </w:p>
    <w:p w14:paraId="14CB314D" w14:textId="77777777" w:rsidR="00C74B3F" w:rsidRPr="00C74B3F" w:rsidRDefault="00C74B3F" w:rsidP="00C70B72">
      <w:pPr>
        <w:rPr>
          <w:rFonts w:ascii="Comic Sans MS" w:hAnsi="Comic Sans MS"/>
          <w:b/>
        </w:rPr>
      </w:pPr>
      <w:r w:rsidRPr="00C74B3F">
        <w:rPr>
          <w:rFonts w:ascii="Comic Sans MS" w:hAnsi="Comic Sans MS"/>
          <w:b/>
        </w:rPr>
        <w:t xml:space="preserve">All pupils at Green Lane access support to their learning through their interests, needs and the ability to think flexibly. </w:t>
      </w:r>
    </w:p>
    <w:p w14:paraId="72A3D3EC" w14:textId="77777777" w:rsidR="00C225D1" w:rsidRDefault="00C225D1" w:rsidP="00C225D1">
      <w:pPr>
        <w:rPr>
          <w:rFonts w:ascii="Comic Sans MS" w:hAnsi="Comic Sans MS"/>
          <w:i/>
        </w:rPr>
      </w:pPr>
    </w:p>
    <w:p w14:paraId="2147DBD0" w14:textId="6B5DD39A" w:rsidR="5F396E9B" w:rsidRDefault="5F396E9B" w:rsidP="4B6DB15A">
      <w:pPr>
        <w:rPr>
          <w:rFonts w:ascii="Comic Sans MS" w:hAnsi="Comic Sans MS"/>
          <w:sz w:val="18"/>
          <w:szCs w:val="18"/>
        </w:rPr>
      </w:pPr>
      <w:r w:rsidRPr="4B6DB15A">
        <w:rPr>
          <w:rFonts w:ascii="Comic Sans MS" w:hAnsi="Comic Sans MS"/>
          <w:sz w:val="18"/>
          <w:szCs w:val="18"/>
        </w:rPr>
        <w:lastRenderedPageBreak/>
        <w:t xml:space="preserve">Pupils in our Cedar pathway will have access to visual systems and structures. Some pupils may require structured work systems in the means of basket work to support and build on their independence. Pupils access </w:t>
      </w:r>
      <w:r w:rsidR="15FB28E0" w:rsidRPr="4B6DB15A">
        <w:rPr>
          <w:rFonts w:ascii="Comic Sans MS" w:hAnsi="Comic Sans MS"/>
          <w:sz w:val="18"/>
          <w:szCs w:val="18"/>
        </w:rPr>
        <w:t xml:space="preserve">a topic led curriculum which encourages play based learning in the form of indoor and outdoor continuous provision, activities are formed on pupil’s interests. </w:t>
      </w:r>
    </w:p>
    <w:p w14:paraId="123E3CB7" w14:textId="491AB3A3" w:rsidR="4B6DB15A" w:rsidRDefault="4B6DB15A" w:rsidP="4B6DB15A">
      <w:pPr>
        <w:rPr>
          <w:rFonts w:ascii="Comic Sans MS" w:hAnsi="Comic Sans MS"/>
          <w:i/>
          <w:iCs/>
        </w:rPr>
      </w:pPr>
    </w:p>
    <w:p w14:paraId="59032CE8" w14:textId="45513990" w:rsidR="4B6DB15A" w:rsidRDefault="4B6DB15A" w:rsidP="4B6DB15A">
      <w:pPr>
        <w:rPr>
          <w:rFonts w:ascii="Comic Sans MS" w:hAnsi="Comic Sans MS"/>
          <w:i/>
          <w:iCs/>
        </w:rPr>
      </w:pPr>
    </w:p>
    <w:p w14:paraId="0B123D1F" w14:textId="2C53DBC0" w:rsidR="4B6DB15A" w:rsidRDefault="4B6DB15A" w:rsidP="4B6DB15A">
      <w:pPr>
        <w:rPr>
          <w:rFonts w:ascii="Comic Sans MS" w:hAnsi="Comic Sans MS"/>
          <w:i/>
          <w:iCs/>
        </w:rPr>
      </w:pPr>
    </w:p>
    <w:p w14:paraId="74364EF1" w14:textId="7C3ED123" w:rsidR="4B6DB15A" w:rsidRDefault="4B6DB15A" w:rsidP="4B6DB15A">
      <w:pPr>
        <w:rPr>
          <w:rFonts w:ascii="Comic Sans MS" w:hAnsi="Comic Sans MS"/>
          <w:i/>
          <w:iCs/>
        </w:rPr>
      </w:pPr>
    </w:p>
    <w:p w14:paraId="0C0EA4C9" w14:textId="1D08E855" w:rsidR="4B6DB15A" w:rsidRDefault="4B6DB15A" w:rsidP="4B6DB15A">
      <w:pPr>
        <w:rPr>
          <w:rFonts w:ascii="Comic Sans MS" w:hAnsi="Comic Sans MS"/>
          <w:i/>
          <w:iCs/>
        </w:rPr>
      </w:pPr>
    </w:p>
    <w:tbl>
      <w:tblPr>
        <w:tblStyle w:val="TableGrid"/>
        <w:tblpPr w:leftFromText="180" w:rightFromText="180" w:vertAnchor="text" w:horzAnchor="margin" w:tblpY="-249"/>
        <w:tblW w:w="0" w:type="auto"/>
        <w:tblLook w:val="04A0" w:firstRow="1" w:lastRow="0" w:firstColumn="1" w:lastColumn="0" w:noHBand="0" w:noVBand="1"/>
      </w:tblPr>
      <w:tblGrid>
        <w:gridCol w:w="3487"/>
        <w:gridCol w:w="3487"/>
        <w:gridCol w:w="3487"/>
        <w:gridCol w:w="3487"/>
      </w:tblGrid>
      <w:tr w:rsidR="00C74B3F" w14:paraId="2CDF7FA5" w14:textId="77777777" w:rsidTr="4B6DB15A">
        <w:tc>
          <w:tcPr>
            <w:tcW w:w="3487" w:type="dxa"/>
          </w:tcPr>
          <w:p w14:paraId="45A1C49D" w14:textId="393B9E76" w:rsidR="00C74B3F" w:rsidRPr="00C225D1" w:rsidRDefault="25B93EEF" w:rsidP="00C74B3F">
            <w:pPr>
              <w:rPr>
                <w:rFonts w:ascii="Comic Sans MS" w:hAnsi="Comic Sans MS"/>
              </w:rPr>
            </w:pPr>
            <w:r w:rsidRPr="4B6DB15A">
              <w:rPr>
                <w:rFonts w:ascii="Comic Sans MS" w:hAnsi="Comic Sans MS"/>
              </w:rPr>
              <w:lastRenderedPageBreak/>
              <w:t>Maple</w:t>
            </w:r>
          </w:p>
        </w:tc>
        <w:tc>
          <w:tcPr>
            <w:tcW w:w="3487" w:type="dxa"/>
          </w:tcPr>
          <w:p w14:paraId="22DF2AE5" w14:textId="29E78F6D" w:rsidR="00C74B3F" w:rsidRPr="00C225D1" w:rsidRDefault="25B93EEF" w:rsidP="00C74B3F">
            <w:pPr>
              <w:rPr>
                <w:rFonts w:ascii="Comic Sans MS" w:hAnsi="Comic Sans MS"/>
              </w:rPr>
            </w:pPr>
            <w:r w:rsidRPr="4B6DB15A">
              <w:rPr>
                <w:rFonts w:ascii="Comic Sans MS" w:hAnsi="Comic Sans MS"/>
              </w:rPr>
              <w:t>Elm</w:t>
            </w:r>
          </w:p>
        </w:tc>
        <w:tc>
          <w:tcPr>
            <w:tcW w:w="3487" w:type="dxa"/>
          </w:tcPr>
          <w:p w14:paraId="162D35BA" w14:textId="1DFBDFCD" w:rsidR="00C74B3F" w:rsidRPr="00C225D1" w:rsidRDefault="433CD668" w:rsidP="00C74B3F">
            <w:pPr>
              <w:rPr>
                <w:rFonts w:ascii="Comic Sans MS" w:hAnsi="Comic Sans MS"/>
              </w:rPr>
            </w:pPr>
            <w:r w:rsidRPr="4B6DB15A">
              <w:rPr>
                <w:rFonts w:ascii="Comic Sans MS" w:hAnsi="Comic Sans MS"/>
              </w:rPr>
              <w:t>Willow</w:t>
            </w:r>
          </w:p>
        </w:tc>
        <w:tc>
          <w:tcPr>
            <w:tcW w:w="3487" w:type="dxa"/>
          </w:tcPr>
          <w:p w14:paraId="7D4F1E34" w14:textId="1DE46515" w:rsidR="00C74B3F" w:rsidRPr="00C225D1" w:rsidRDefault="433CD668" w:rsidP="00C74B3F">
            <w:pPr>
              <w:rPr>
                <w:rFonts w:ascii="Comic Sans MS" w:hAnsi="Comic Sans MS"/>
              </w:rPr>
            </w:pPr>
            <w:r w:rsidRPr="4B6DB15A">
              <w:rPr>
                <w:rFonts w:ascii="Comic Sans MS" w:hAnsi="Comic Sans MS"/>
              </w:rPr>
              <w:t>Oak</w:t>
            </w:r>
          </w:p>
        </w:tc>
      </w:tr>
      <w:tr w:rsidR="00C74B3F" w14:paraId="3CC307FD" w14:textId="77777777" w:rsidTr="4B6DB15A">
        <w:trPr>
          <w:trHeight w:val="8600"/>
        </w:trPr>
        <w:tc>
          <w:tcPr>
            <w:tcW w:w="3487" w:type="dxa"/>
          </w:tcPr>
          <w:p w14:paraId="60061E4C" w14:textId="77777777" w:rsidR="00C74B3F" w:rsidRDefault="00C74B3F" w:rsidP="00C74B3F">
            <w:pPr>
              <w:rPr>
                <w:rFonts w:ascii="Comic Sans MS" w:hAnsi="Comic Sans MS"/>
                <w:sz w:val="18"/>
              </w:rPr>
            </w:pPr>
          </w:p>
          <w:p w14:paraId="44EAFD9C" w14:textId="77777777" w:rsidR="00C74B3F" w:rsidRPr="001A7DF8" w:rsidRDefault="00C74B3F" w:rsidP="00C74B3F">
            <w:pPr>
              <w:rPr>
                <w:rFonts w:ascii="Comic Sans MS" w:hAnsi="Comic Sans MS"/>
                <w:sz w:val="18"/>
              </w:rPr>
            </w:pPr>
          </w:p>
        </w:tc>
        <w:tc>
          <w:tcPr>
            <w:tcW w:w="3487" w:type="dxa"/>
          </w:tcPr>
          <w:p w14:paraId="3656B9AB" w14:textId="77777777" w:rsidR="00C74B3F" w:rsidRDefault="00C74B3F" w:rsidP="00C74B3F">
            <w:pPr>
              <w:rPr>
                <w:rFonts w:ascii="Comic Sans MS" w:hAnsi="Comic Sans MS"/>
                <w:sz w:val="18"/>
              </w:rPr>
            </w:pPr>
          </w:p>
          <w:p w14:paraId="19C861AA" w14:textId="77777777" w:rsidR="00C74B3F" w:rsidRPr="00C74B3F" w:rsidRDefault="72216CD3" w:rsidP="4B6DB15A">
            <w:pPr>
              <w:rPr>
                <w:rFonts w:ascii="Comic Sans MS" w:hAnsi="Comic Sans MS"/>
                <w:sz w:val="18"/>
                <w:szCs w:val="18"/>
              </w:rPr>
            </w:pPr>
            <w:r w:rsidRPr="4B6DB15A">
              <w:rPr>
                <w:rFonts w:ascii="Comic Sans MS" w:hAnsi="Comic Sans MS"/>
                <w:sz w:val="18"/>
                <w:szCs w:val="18"/>
              </w:rPr>
              <w:t xml:space="preserve">Pupils within this pathway will use a structured learning style to build on communication, independence and social skills. </w:t>
            </w:r>
          </w:p>
          <w:p w14:paraId="638EF620" w14:textId="77777777" w:rsidR="00C74B3F" w:rsidRPr="00C74B3F" w:rsidRDefault="00C74B3F" w:rsidP="4B6DB15A">
            <w:pPr>
              <w:rPr>
                <w:rFonts w:ascii="Comic Sans MS" w:hAnsi="Comic Sans MS"/>
                <w:sz w:val="18"/>
                <w:szCs w:val="18"/>
              </w:rPr>
            </w:pPr>
          </w:p>
          <w:p w14:paraId="0CE36925" w14:textId="77777777" w:rsidR="00C74B3F" w:rsidRPr="00C74B3F" w:rsidRDefault="72216CD3" w:rsidP="4B6DB15A">
            <w:pPr>
              <w:rPr>
                <w:rFonts w:ascii="Comic Sans MS" w:hAnsi="Comic Sans MS"/>
                <w:sz w:val="18"/>
                <w:szCs w:val="18"/>
              </w:rPr>
            </w:pPr>
            <w:r w:rsidRPr="4B6DB15A">
              <w:rPr>
                <w:rFonts w:ascii="Comic Sans MS" w:hAnsi="Comic Sans MS"/>
                <w:sz w:val="18"/>
                <w:szCs w:val="18"/>
              </w:rPr>
              <w:t xml:space="preserve">Pupils will access the TEACCH approach used as a strategy through basket work or offices to build on structure, routine and independence. </w:t>
            </w:r>
          </w:p>
          <w:p w14:paraId="2FABD5B5" w14:textId="77777777" w:rsidR="00C74B3F" w:rsidRPr="00C74B3F" w:rsidRDefault="00C74B3F" w:rsidP="4B6DB15A">
            <w:pPr>
              <w:rPr>
                <w:rFonts w:ascii="Comic Sans MS" w:hAnsi="Comic Sans MS"/>
                <w:sz w:val="18"/>
                <w:szCs w:val="18"/>
              </w:rPr>
            </w:pPr>
          </w:p>
          <w:p w14:paraId="0D0E4708" w14:textId="77777777" w:rsidR="00C74B3F" w:rsidRPr="00C74B3F" w:rsidRDefault="72216CD3" w:rsidP="4B6DB15A">
            <w:pPr>
              <w:rPr>
                <w:rFonts w:ascii="Comic Sans MS" w:hAnsi="Comic Sans MS"/>
                <w:sz w:val="18"/>
                <w:szCs w:val="18"/>
              </w:rPr>
            </w:pPr>
            <w:r w:rsidRPr="4B6DB15A">
              <w:rPr>
                <w:rFonts w:ascii="Comic Sans MS" w:hAnsi="Comic Sans MS"/>
                <w:sz w:val="18"/>
                <w:szCs w:val="18"/>
              </w:rPr>
              <w:t xml:space="preserve">The environment in this pathway is structured and zoned to support pupils learning and attention. </w:t>
            </w:r>
          </w:p>
          <w:p w14:paraId="60598292" w14:textId="77777777" w:rsidR="00C74B3F" w:rsidRPr="00C74B3F" w:rsidRDefault="00C74B3F" w:rsidP="4B6DB15A">
            <w:pPr>
              <w:rPr>
                <w:rFonts w:ascii="Comic Sans MS" w:hAnsi="Comic Sans MS"/>
                <w:sz w:val="18"/>
                <w:szCs w:val="18"/>
              </w:rPr>
            </w:pPr>
          </w:p>
          <w:p w14:paraId="591AEA2E" w14:textId="77777777" w:rsidR="00C74B3F" w:rsidRPr="00C74B3F" w:rsidRDefault="72216CD3" w:rsidP="4B6DB15A">
            <w:pPr>
              <w:rPr>
                <w:rFonts w:ascii="Comic Sans MS" w:hAnsi="Comic Sans MS"/>
                <w:sz w:val="18"/>
                <w:szCs w:val="18"/>
              </w:rPr>
            </w:pPr>
            <w:r w:rsidRPr="4B6DB15A">
              <w:rPr>
                <w:rFonts w:ascii="Comic Sans MS" w:hAnsi="Comic Sans MS"/>
                <w:sz w:val="18"/>
                <w:szCs w:val="18"/>
              </w:rPr>
              <w:t xml:space="preserve">Pupils in this pathway require visuals to support their learning, communication, emotional regulation support and transitions. </w:t>
            </w:r>
          </w:p>
          <w:p w14:paraId="38BCE818" w14:textId="77777777" w:rsidR="00C74B3F" w:rsidRPr="00C74B3F" w:rsidRDefault="00C74B3F" w:rsidP="4B6DB15A">
            <w:pPr>
              <w:rPr>
                <w:rFonts w:ascii="Comic Sans MS" w:hAnsi="Comic Sans MS"/>
                <w:sz w:val="18"/>
                <w:szCs w:val="18"/>
              </w:rPr>
            </w:pPr>
          </w:p>
          <w:p w14:paraId="338CB0B3" w14:textId="474FD496" w:rsidR="00C74B3F" w:rsidRPr="00C74B3F" w:rsidRDefault="72216CD3" w:rsidP="4B6DB15A">
            <w:pPr>
              <w:rPr>
                <w:rFonts w:ascii="Comic Sans MS" w:hAnsi="Comic Sans MS"/>
                <w:sz w:val="18"/>
                <w:szCs w:val="18"/>
              </w:rPr>
            </w:pPr>
            <w:r w:rsidRPr="4B6DB15A">
              <w:rPr>
                <w:rFonts w:ascii="Comic Sans MS" w:hAnsi="Comic Sans MS"/>
                <w:sz w:val="18"/>
                <w:szCs w:val="18"/>
              </w:rPr>
              <w:t>Pupils in this pathway require individual timetables which are broken down further than lessons.</w:t>
            </w:r>
          </w:p>
          <w:p w14:paraId="45FB0818" w14:textId="1EE7290E" w:rsidR="00C74B3F" w:rsidRPr="00C74B3F" w:rsidRDefault="00C74B3F" w:rsidP="4B6DB15A">
            <w:pPr>
              <w:rPr>
                <w:rFonts w:ascii="Comic Sans MS" w:hAnsi="Comic Sans MS"/>
              </w:rPr>
            </w:pPr>
          </w:p>
        </w:tc>
        <w:tc>
          <w:tcPr>
            <w:tcW w:w="3487" w:type="dxa"/>
          </w:tcPr>
          <w:p w14:paraId="17332383" w14:textId="207DB55C" w:rsidR="00C74B3F" w:rsidRDefault="00C74B3F" w:rsidP="4B6DB15A">
            <w:pPr>
              <w:rPr>
                <w:rFonts w:ascii="Comic Sans MS" w:hAnsi="Comic Sans MS"/>
                <w:sz w:val="18"/>
                <w:szCs w:val="18"/>
              </w:rPr>
            </w:pPr>
            <w:r w:rsidRPr="4B6DB15A">
              <w:rPr>
                <w:rFonts w:ascii="Comic Sans MS" w:hAnsi="Comic Sans MS"/>
                <w:sz w:val="18"/>
                <w:szCs w:val="18"/>
              </w:rPr>
              <w:t xml:space="preserve">Pupils in this pathway will follow a physical structure within their classroom e.g. clear learning board, </w:t>
            </w:r>
            <w:r w:rsidR="4C0E7CEE" w:rsidRPr="4B6DB15A">
              <w:rPr>
                <w:rFonts w:ascii="Comic Sans MS" w:hAnsi="Comic Sans MS"/>
                <w:sz w:val="18"/>
                <w:szCs w:val="18"/>
              </w:rPr>
              <w:t>wor</w:t>
            </w:r>
            <w:r w:rsidR="6CBC0A55" w:rsidRPr="4B6DB15A">
              <w:rPr>
                <w:rFonts w:ascii="Comic Sans MS" w:hAnsi="Comic Sans MS"/>
                <w:sz w:val="18"/>
                <w:szCs w:val="18"/>
              </w:rPr>
              <w:t xml:space="preserve">k </w:t>
            </w:r>
            <w:r w:rsidR="4C0E7CEE" w:rsidRPr="4B6DB15A">
              <w:rPr>
                <w:rFonts w:ascii="Comic Sans MS" w:hAnsi="Comic Sans MS"/>
                <w:sz w:val="18"/>
                <w:szCs w:val="18"/>
              </w:rPr>
              <w:t>tables</w:t>
            </w:r>
            <w:r w:rsidRPr="4B6DB15A">
              <w:rPr>
                <w:rFonts w:ascii="Comic Sans MS" w:hAnsi="Comic Sans MS"/>
                <w:sz w:val="18"/>
                <w:szCs w:val="18"/>
              </w:rPr>
              <w:t xml:space="preserve"> following an autism friendly approach. </w:t>
            </w:r>
            <w:r w:rsidR="1F17F4E1" w:rsidRPr="4B6DB15A">
              <w:rPr>
                <w:rFonts w:ascii="Comic Sans MS" w:hAnsi="Comic Sans MS"/>
                <w:sz w:val="18"/>
                <w:szCs w:val="18"/>
              </w:rPr>
              <w:t>Pupils in this pathway will work in groups and alongside their peers. Some pupils in this pathway may require a</w:t>
            </w:r>
            <w:r w:rsidR="6C1DAFCF" w:rsidRPr="4B6DB15A">
              <w:rPr>
                <w:rFonts w:ascii="Comic Sans MS" w:hAnsi="Comic Sans MS"/>
                <w:sz w:val="18"/>
                <w:szCs w:val="18"/>
              </w:rPr>
              <w:t xml:space="preserve">n independent work station/office. Some classes still need to follow the model of working with children 1:1 at a </w:t>
            </w:r>
            <w:r w:rsidR="2E172524" w:rsidRPr="4B6DB15A">
              <w:rPr>
                <w:rFonts w:ascii="Comic Sans MS" w:hAnsi="Comic Sans MS"/>
                <w:sz w:val="18"/>
                <w:szCs w:val="18"/>
              </w:rPr>
              <w:t>work base</w:t>
            </w:r>
            <w:r w:rsidR="6C1DAFCF" w:rsidRPr="4B6DB15A">
              <w:rPr>
                <w:rFonts w:ascii="Comic Sans MS" w:hAnsi="Comic Sans MS"/>
                <w:sz w:val="18"/>
                <w:szCs w:val="18"/>
              </w:rPr>
              <w:t xml:space="preserve">. </w:t>
            </w:r>
          </w:p>
          <w:p w14:paraId="049F31CB" w14:textId="77777777" w:rsidR="00C74B3F" w:rsidRDefault="00C74B3F" w:rsidP="00C74B3F">
            <w:pPr>
              <w:rPr>
                <w:rFonts w:ascii="Comic Sans MS" w:hAnsi="Comic Sans MS"/>
                <w:sz w:val="18"/>
              </w:rPr>
            </w:pPr>
          </w:p>
          <w:p w14:paraId="4B1E0038" w14:textId="77777777" w:rsidR="00C74B3F" w:rsidRDefault="00C74B3F" w:rsidP="00C74B3F">
            <w:pPr>
              <w:rPr>
                <w:rFonts w:ascii="Comic Sans MS" w:hAnsi="Comic Sans MS"/>
                <w:sz w:val="18"/>
              </w:rPr>
            </w:pPr>
            <w:r>
              <w:rPr>
                <w:rFonts w:ascii="Comic Sans MS" w:hAnsi="Comic Sans MS"/>
                <w:sz w:val="18"/>
              </w:rPr>
              <w:t xml:space="preserve">Independence is built upon within this pathway. </w:t>
            </w:r>
          </w:p>
          <w:p w14:paraId="53128261" w14:textId="77777777" w:rsidR="00C74B3F" w:rsidRDefault="00C74B3F" w:rsidP="00C74B3F">
            <w:pPr>
              <w:rPr>
                <w:rFonts w:ascii="Comic Sans MS" w:hAnsi="Comic Sans MS"/>
                <w:sz w:val="18"/>
              </w:rPr>
            </w:pPr>
          </w:p>
          <w:p w14:paraId="71763E55" w14:textId="6BA2336F" w:rsidR="00C74B3F" w:rsidRDefault="00C74B3F" w:rsidP="4B6DB15A">
            <w:pPr>
              <w:rPr>
                <w:rFonts w:ascii="Comic Sans MS" w:hAnsi="Comic Sans MS"/>
                <w:sz w:val="18"/>
                <w:szCs w:val="18"/>
              </w:rPr>
            </w:pPr>
            <w:r w:rsidRPr="4B6DB15A">
              <w:rPr>
                <w:rFonts w:ascii="Comic Sans MS" w:hAnsi="Comic Sans MS"/>
                <w:sz w:val="18"/>
                <w:szCs w:val="18"/>
              </w:rPr>
              <w:t xml:space="preserve">Pupils will require visual supports to support transitions throughout the day. </w:t>
            </w:r>
            <w:r w:rsidR="5A0C794B" w:rsidRPr="4B6DB15A">
              <w:rPr>
                <w:rFonts w:ascii="Comic Sans MS" w:hAnsi="Comic Sans MS"/>
                <w:sz w:val="18"/>
                <w:szCs w:val="18"/>
              </w:rPr>
              <w:t>Some pupils do not require this and can cope with verbal or written instructions.</w:t>
            </w:r>
          </w:p>
          <w:p w14:paraId="62486C05" w14:textId="77777777" w:rsidR="00C74B3F" w:rsidRDefault="00C74B3F" w:rsidP="00C74B3F">
            <w:pPr>
              <w:rPr>
                <w:rFonts w:ascii="Comic Sans MS" w:hAnsi="Comic Sans MS"/>
                <w:sz w:val="18"/>
              </w:rPr>
            </w:pPr>
          </w:p>
          <w:p w14:paraId="2DB60948" w14:textId="5FBB9E57" w:rsidR="00C74B3F" w:rsidRPr="00C74B3F" w:rsidRDefault="00C74B3F" w:rsidP="4B6DB15A">
            <w:pPr>
              <w:rPr>
                <w:rFonts w:ascii="Comic Sans MS" w:hAnsi="Comic Sans MS"/>
                <w:sz w:val="18"/>
                <w:szCs w:val="18"/>
              </w:rPr>
            </w:pPr>
            <w:r w:rsidRPr="4B6DB15A">
              <w:rPr>
                <w:rFonts w:ascii="Comic Sans MS" w:hAnsi="Comic Sans MS"/>
                <w:sz w:val="18"/>
                <w:szCs w:val="18"/>
              </w:rPr>
              <w:t xml:space="preserve">Pupils in this pathway access a whole class timetable. </w:t>
            </w:r>
            <w:r w:rsidR="6B8C3B1C" w:rsidRPr="4B6DB15A">
              <w:rPr>
                <w:rFonts w:ascii="Comic Sans MS" w:hAnsi="Comic Sans MS"/>
                <w:sz w:val="18"/>
                <w:szCs w:val="18"/>
              </w:rPr>
              <w:t xml:space="preserve">Some pupils have an individual visual timetable and other visual supports. </w:t>
            </w:r>
          </w:p>
          <w:p w14:paraId="2B025989" w14:textId="28E68B74" w:rsidR="00C74B3F" w:rsidRPr="00C74B3F" w:rsidRDefault="00C74B3F" w:rsidP="4B6DB15A">
            <w:pPr>
              <w:rPr>
                <w:rFonts w:ascii="Comic Sans MS" w:hAnsi="Comic Sans MS"/>
                <w:sz w:val="18"/>
                <w:szCs w:val="18"/>
              </w:rPr>
            </w:pPr>
          </w:p>
          <w:p w14:paraId="5ED1D04A" w14:textId="3FF9172A" w:rsidR="00C74B3F" w:rsidRPr="00C74B3F" w:rsidRDefault="00C74B3F" w:rsidP="4B6DB15A">
            <w:pPr>
              <w:rPr>
                <w:rFonts w:ascii="Comic Sans MS" w:hAnsi="Comic Sans MS"/>
                <w:sz w:val="18"/>
                <w:szCs w:val="18"/>
              </w:rPr>
            </w:pPr>
          </w:p>
        </w:tc>
        <w:tc>
          <w:tcPr>
            <w:tcW w:w="3487" w:type="dxa"/>
          </w:tcPr>
          <w:p w14:paraId="10CCFD99" w14:textId="11AD0650" w:rsidR="00C74B3F" w:rsidRPr="00BA32A4" w:rsidRDefault="087B2349" w:rsidP="4B6DB15A">
            <w:pPr>
              <w:rPr>
                <w:rFonts w:ascii="Comic Sans MS" w:hAnsi="Comic Sans MS"/>
                <w:sz w:val="18"/>
                <w:szCs w:val="18"/>
              </w:rPr>
            </w:pPr>
            <w:r w:rsidRPr="4B6DB15A">
              <w:rPr>
                <w:rFonts w:ascii="Comic Sans MS" w:hAnsi="Comic Sans MS"/>
                <w:sz w:val="18"/>
                <w:szCs w:val="18"/>
              </w:rPr>
              <w:t xml:space="preserve">Pupils in this pathway will follow a physical structure within their classroom e.g. clear learning board, </w:t>
            </w:r>
            <w:r w:rsidR="6F723FF2" w:rsidRPr="4B6DB15A">
              <w:rPr>
                <w:rFonts w:ascii="Comic Sans MS" w:hAnsi="Comic Sans MS"/>
                <w:sz w:val="18"/>
                <w:szCs w:val="18"/>
              </w:rPr>
              <w:t>worktables</w:t>
            </w:r>
            <w:r w:rsidRPr="4B6DB15A">
              <w:rPr>
                <w:rFonts w:ascii="Comic Sans MS" w:hAnsi="Comic Sans MS"/>
                <w:sz w:val="18"/>
                <w:szCs w:val="18"/>
              </w:rPr>
              <w:t xml:space="preserve"> following an autism friendly approach.</w:t>
            </w:r>
            <w:r w:rsidR="6717EDE0" w:rsidRPr="4B6DB15A">
              <w:rPr>
                <w:rFonts w:ascii="Comic Sans MS" w:hAnsi="Comic Sans MS"/>
                <w:sz w:val="18"/>
                <w:szCs w:val="18"/>
              </w:rPr>
              <w:t xml:space="preserve"> Pupils can have busier displays with bright colours and a working wall. Pupils in this pathway can work independently and are encouraged to work alongside their peers and group work. </w:t>
            </w:r>
          </w:p>
          <w:p w14:paraId="3B81D676" w14:textId="405966BC" w:rsidR="00C74B3F" w:rsidRPr="00BA32A4" w:rsidRDefault="00C74B3F" w:rsidP="4B6DB15A">
            <w:pPr>
              <w:rPr>
                <w:rFonts w:ascii="Comic Sans MS" w:hAnsi="Comic Sans MS"/>
                <w:sz w:val="18"/>
                <w:szCs w:val="18"/>
              </w:rPr>
            </w:pPr>
          </w:p>
          <w:p w14:paraId="730EDBB5" w14:textId="77777777" w:rsidR="00C74B3F" w:rsidRPr="00BA32A4" w:rsidRDefault="087B2349" w:rsidP="4B6DB15A">
            <w:pPr>
              <w:rPr>
                <w:rFonts w:ascii="Comic Sans MS" w:hAnsi="Comic Sans MS"/>
                <w:sz w:val="18"/>
                <w:szCs w:val="18"/>
              </w:rPr>
            </w:pPr>
            <w:r w:rsidRPr="4B6DB15A">
              <w:rPr>
                <w:rFonts w:ascii="Comic Sans MS" w:hAnsi="Comic Sans MS"/>
                <w:sz w:val="18"/>
                <w:szCs w:val="18"/>
              </w:rPr>
              <w:t>Independence is apparent within this pathway.</w:t>
            </w:r>
          </w:p>
          <w:p w14:paraId="6B688405" w14:textId="77777777" w:rsidR="00C74B3F" w:rsidRPr="00BA32A4" w:rsidRDefault="00C74B3F" w:rsidP="4B6DB15A">
            <w:pPr>
              <w:rPr>
                <w:rFonts w:ascii="Comic Sans MS" w:hAnsi="Comic Sans MS"/>
                <w:sz w:val="18"/>
                <w:szCs w:val="18"/>
              </w:rPr>
            </w:pPr>
          </w:p>
          <w:p w14:paraId="7431D9D9" w14:textId="542357D4" w:rsidR="00C74B3F" w:rsidRPr="00BA32A4" w:rsidRDefault="087B2349" w:rsidP="4B6DB15A">
            <w:pPr>
              <w:rPr>
                <w:rFonts w:ascii="Comic Sans MS" w:hAnsi="Comic Sans MS"/>
                <w:sz w:val="18"/>
                <w:szCs w:val="18"/>
              </w:rPr>
            </w:pPr>
            <w:r w:rsidRPr="4B6DB15A">
              <w:rPr>
                <w:rFonts w:ascii="Comic Sans MS" w:hAnsi="Comic Sans MS"/>
                <w:sz w:val="18"/>
                <w:szCs w:val="18"/>
              </w:rPr>
              <w:t>Pupils in this pathway may require less visual supports and need writing to support them to structure the day including transitions.</w:t>
            </w:r>
          </w:p>
          <w:p w14:paraId="1FC39945" w14:textId="63D2E0B2" w:rsidR="00C74B3F" w:rsidRPr="00BA32A4" w:rsidRDefault="00C74B3F" w:rsidP="4B6DB15A">
            <w:pPr>
              <w:rPr>
                <w:rFonts w:ascii="Comic Sans MS" w:hAnsi="Comic Sans MS"/>
                <w:sz w:val="18"/>
                <w:szCs w:val="18"/>
              </w:rPr>
            </w:pPr>
          </w:p>
        </w:tc>
      </w:tr>
    </w:tbl>
    <w:p w14:paraId="0562CB0E" w14:textId="77777777" w:rsidR="00C225D1" w:rsidRDefault="00C225D1" w:rsidP="00C225D1">
      <w:pPr>
        <w:rPr>
          <w:rFonts w:ascii="Comic Sans MS" w:hAnsi="Comic Sans MS"/>
          <w:i/>
        </w:rPr>
      </w:pPr>
    </w:p>
    <w:p w14:paraId="34CE0A41" w14:textId="77777777" w:rsidR="00C70B72" w:rsidRDefault="00C70B72" w:rsidP="00C225D1">
      <w:pPr>
        <w:rPr>
          <w:rFonts w:ascii="Comic Sans MS" w:hAnsi="Comic Sans MS"/>
          <w:i/>
        </w:rPr>
      </w:pPr>
    </w:p>
    <w:p w14:paraId="62EBF3C5" w14:textId="77777777" w:rsidR="00C225D1" w:rsidRPr="008F4523" w:rsidRDefault="00C225D1" w:rsidP="000E0959">
      <w:pPr>
        <w:rPr>
          <w:rFonts w:ascii="Comic Sans MS" w:hAnsi="Comic Sans MS"/>
          <w:i/>
          <w:color w:val="70AD47" w:themeColor="accent6"/>
          <w:sz w:val="96"/>
        </w:rPr>
      </w:pPr>
    </w:p>
    <w:p w14:paraId="6D98A12B" w14:textId="77777777" w:rsidR="00C225D1" w:rsidRDefault="00C225D1"/>
    <w:sectPr w:rsidR="00C225D1" w:rsidSect="00C225D1">
      <w:pgSz w:w="16838" w:h="11906" w:orient="landscape"/>
      <w:pgMar w:top="1440" w:right="1440" w:bottom="1440" w:left="1440" w:header="708" w:footer="708" w:gutter="0"/>
      <w:pgBorders w:offsetFrom="page">
        <w:top w:val="single" w:sz="18" w:space="24" w:color="70AD47" w:themeColor="accent6"/>
        <w:left w:val="single" w:sz="18" w:space="24" w:color="70AD47" w:themeColor="accent6"/>
        <w:bottom w:val="single" w:sz="18" w:space="24" w:color="70AD47" w:themeColor="accent6"/>
        <w:right w:val="single" w:sz="18"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5D1"/>
    <w:rsid w:val="00094728"/>
    <w:rsid w:val="000E0959"/>
    <w:rsid w:val="000F6076"/>
    <w:rsid w:val="001A7DF8"/>
    <w:rsid w:val="00BA32A4"/>
    <w:rsid w:val="00C225D1"/>
    <w:rsid w:val="00C70B72"/>
    <w:rsid w:val="00C74B3F"/>
    <w:rsid w:val="00D379C7"/>
    <w:rsid w:val="00D71783"/>
    <w:rsid w:val="00D8507E"/>
    <w:rsid w:val="00F20337"/>
    <w:rsid w:val="087B2349"/>
    <w:rsid w:val="15FB28E0"/>
    <w:rsid w:val="1F17F4E1"/>
    <w:rsid w:val="24271AE4"/>
    <w:rsid w:val="24B8C377"/>
    <w:rsid w:val="25B93EEF"/>
    <w:rsid w:val="2E172524"/>
    <w:rsid w:val="340DB176"/>
    <w:rsid w:val="3C18C35B"/>
    <w:rsid w:val="433CD668"/>
    <w:rsid w:val="4B6DB15A"/>
    <w:rsid w:val="4C0E7CEE"/>
    <w:rsid w:val="4EA5521C"/>
    <w:rsid w:val="51DCF2DE"/>
    <w:rsid w:val="5378C33F"/>
    <w:rsid w:val="53B03DFD"/>
    <w:rsid w:val="584C3462"/>
    <w:rsid w:val="5A0C794B"/>
    <w:rsid w:val="5F396E9B"/>
    <w:rsid w:val="6532A4F0"/>
    <w:rsid w:val="6717EDE0"/>
    <w:rsid w:val="6749853D"/>
    <w:rsid w:val="6B8C3B1C"/>
    <w:rsid w:val="6C1DAFCF"/>
    <w:rsid w:val="6CBC0A55"/>
    <w:rsid w:val="6ED98736"/>
    <w:rsid w:val="6F723FF2"/>
    <w:rsid w:val="72216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DDE1"/>
  <w15:chartTrackingRefBased/>
  <w15:docId w15:val="{27A2E906-B846-4BF2-B6F6-B788A762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2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Barnes</dc:creator>
  <cp:keywords/>
  <dc:description/>
  <cp:lastModifiedBy>Joanna Barnes</cp:lastModifiedBy>
  <cp:revision>2</cp:revision>
  <dcterms:created xsi:type="dcterms:W3CDTF">2024-03-22T22:12:00Z</dcterms:created>
  <dcterms:modified xsi:type="dcterms:W3CDTF">2024-03-22T22:12:00Z</dcterms:modified>
</cp:coreProperties>
</file>