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ECE" w:rsidRDefault="003A4ECE">
      <w:pPr>
        <w:pStyle w:val="Title"/>
        <w:jc w:val="center"/>
        <w:rPr>
          <w:rFonts w:ascii="Comic Sans MS" w:hAnsi="Comic Sans MS"/>
          <w:color w:val="auto"/>
          <w:sz w:val="96"/>
          <w:szCs w:val="96"/>
        </w:rPr>
      </w:pPr>
    </w:p>
    <w:p w:rsidR="00A73C3B" w:rsidRPr="003A4ECE" w:rsidRDefault="00D24BF4">
      <w:pPr>
        <w:pStyle w:val="Title"/>
        <w:jc w:val="center"/>
        <w:rPr>
          <w:rFonts w:ascii="Comic Sans MS" w:hAnsi="Comic Sans MS"/>
          <w:color w:val="auto"/>
          <w:sz w:val="96"/>
          <w:szCs w:val="96"/>
        </w:rPr>
      </w:pPr>
      <w:r w:rsidRPr="003A4ECE">
        <w:rPr>
          <w:rFonts w:ascii="Comic Sans MS" w:hAnsi="Comic Sans MS"/>
          <w:color w:val="auto"/>
          <w:sz w:val="96"/>
          <w:szCs w:val="96"/>
        </w:rPr>
        <w:t>Teaching and Learning Policy</w:t>
      </w:r>
    </w:p>
    <w:p w:rsidR="00A73C3B" w:rsidRPr="003A4ECE" w:rsidRDefault="00D24BF4">
      <w:pPr>
        <w:pStyle w:val="Subtitle"/>
        <w:jc w:val="center"/>
        <w:rPr>
          <w:rFonts w:ascii="Comic Sans MS" w:hAnsi="Comic Sans MS"/>
          <w:color w:val="auto"/>
        </w:rPr>
      </w:pPr>
      <w:r w:rsidRPr="003A4ECE">
        <w:rPr>
          <w:rFonts w:ascii="Comic Sans MS" w:hAnsi="Comic Sans MS"/>
          <w:color w:val="auto"/>
        </w:rPr>
        <w:t>Consistent principles for ambitious, adaptive and engaging practice</w:t>
      </w:r>
    </w:p>
    <w:p w:rsidR="003A4ECE" w:rsidRPr="003A4ECE" w:rsidRDefault="003A4ECE" w:rsidP="003A4ECE">
      <w:pPr>
        <w:rPr>
          <w:rFonts w:ascii="Comic Sans MS" w:hAnsi="Comic Sans MS"/>
          <w:color w:val="auto"/>
        </w:rPr>
      </w:pPr>
    </w:p>
    <w:p w:rsidR="003A4ECE" w:rsidRDefault="003A4ECE" w:rsidP="003A4ECE">
      <w:pPr>
        <w:jc w:val="center"/>
        <w:rPr>
          <w:rFonts w:ascii="Comic Sans MS" w:hAnsi="Comic Sans MS"/>
          <w:color w:val="auto"/>
          <w:sz w:val="52"/>
          <w:szCs w:val="52"/>
        </w:rPr>
      </w:pPr>
      <w:r w:rsidRPr="003A4ECE">
        <w:rPr>
          <w:rFonts w:ascii="Comic Sans MS" w:hAnsi="Comic Sans MS"/>
          <w:color w:val="auto"/>
          <w:sz w:val="52"/>
          <w:szCs w:val="52"/>
        </w:rPr>
        <w:t>Green Lane Community Special School</w:t>
      </w:r>
      <w:r w:rsidRPr="003A4ECE">
        <w:rPr>
          <w:rFonts w:ascii="Comic Sans MS" w:hAnsi="Comic Sans MS"/>
          <w:color w:val="auto"/>
          <w:sz w:val="52"/>
          <w:szCs w:val="52"/>
        </w:rPr>
        <w:br/>
      </w:r>
      <w:r w:rsidRPr="003A4ECE">
        <w:rPr>
          <w:rFonts w:ascii="Comic Sans MS" w:hAnsi="Comic Sans MS"/>
          <w:color w:val="auto"/>
        </w:rPr>
        <w:drawing>
          <wp:inline distT="0" distB="0" distL="0" distR="0" wp14:anchorId="38761972" wp14:editId="25BB0514">
            <wp:extent cx="1036410" cy="8382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36410" cy="838273"/>
                    </a:xfrm>
                    <a:prstGeom prst="rect">
                      <a:avLst/>
                    </a:prstGeom>
                  </pic:spPr>
                </pic:pic>
              </a:graphicData>
            </a:graphic>
          </wp:inline>
        </w:drawing>
      </w:r>
      <w:r w:rsidRPr="003A4ECE">
        <w:rPr>
          <w:rFonts w:ascii="Comic Sans MS" w:hAnsi="Comic Sans MS"/>
          <w:color w:val="auto"/>
        </w:rPr>
        <w:br/>
      </w:r>
    </w:p>
    <w:p w:rsidR="003A4ECE" w:rsidRDefault="003A4ECE" w:rsidP="003A4ECE">
      <w:pPr>
        <w:jc w:val="center"/>
        <w:rPr>
          <w:rFonts w:ascii="Comic Sans MS" w:hAnsi="Comic Sans MS"/>
          <w:color w:val="auto"/>
          <w:sz w:val="52"/>
          <w:szCs w:val="52"/>
        </w:rPr>
      </w:pPr>
    </w:p>
    <w:p w:rsidR="003A4ECE" w:rsidRDefault="003A4ECE" w:rsidP="003A4ECE">
      <w:pPr>
        <w:jc w:val="center"/>
        <w:rPr>
          <w:rFonts w:ascii="Comic Sans MS" w:hAnsi="Comic Sans MS"/>
          <w:color w:val="auto"/>
          <w:sz w:val="52"/>
          <w:szCs w:val="52"/>
        </w:rPr>
      </w:pPr>
    </w:p>
    <w:p w:rsidR="003A4ECE" w:rsidRPr="003A4ECE" w:rsidRDefault="003A4ECE" w:rsidP="003A4ECE">
      <w:pPr>
        <w:jc w:val="center"/>
        <w:rPr>
          <w:rFonts w:ascii="Comic Sans MS" w:hAnsi="Comic Sans MS"/>
          <w:color w:val="auto"/>
          <w:sz w:val="52"/>
          <w:szCs w:val="52"/>
        </w:rPr>
      </w:pPr>
    </w:p>
    <w:tbl>
      <w:tblPr>
        <w:tblW w:w="0" w:type="auto"/>
        <w:jc w:val="center"/>
        <w:tblLayout w:type="fixed"/>
        <w:tblLook w:val="04A0" w:firstRow="1" w:lastRow="0" w:firstColumn="1" w:lastColumn="0" w:noHBand="0" w:noVBand="1"/>
      </w:tblPr>
      <w:tblGrid>
        <w:gridCol w:w="2880"/>
        <w:gridCol w:w="6912"/>
      </w:tblGrid>
      <w:tr w:rsidR="003A4ECE" w:rsidRPr="003A4ECE">
        <w:trPr>
          <w:jc w:val="center"/>
        </w:trPr>
        <w:tc>
          <w:tcPr>
            <w:tcW w:w="2880" w:type="dxa"/>
            <w:shd w:val="clear" w:color="auto" w:fill="D9EAF7"/>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b/>
                <w:color w:val="auto"/>
              </w:rPr>
              <w:t>Policy owner</w:t>
            </w:r>
          </w:p>
        </w:tc>
        <w:tc>
          <w:tcPr>
            <w:tcW w:w="6912" w:type="dxa"/>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color w:val="auto"/>
              </w:rPr>
              <w:t>Sarah Irwin</w:t>
            </w:r>
          </w:p>
        </w:tc>
      </w:tr>
      <w:tr w:rsidR="003A4ECE" w:rsidRPr="003A4ECE">
        <w:trPr>
          <w:jc w:val="center"/>
        </w:trPr>
        <w:tc>
          <w:tcPr>
            <w:tcW w:w="2880" w:type="dxa"/>
            <w:shd w:val="clear" w:color="auto" w:fill="D9EAF7"/>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b/>
                <w:color w:val="auto"/>
              </w:rPr>
              <w:t>Approved by</w:t>
            </w:r>
          </w:p>
        </w:tc>
        <w:tc>
          <w:tcPr>
            <w:tcW w:w="6912" w:type="dxa"/>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color w:val="auto"/>
              </w:rPr>
              <w:t>Headteacher and Governing Body</w:t>
            </w:r>
          </w:p>
        </w:tc>
      </w:tr>
      <w:tr w:rsidR="003A4ECE" w:rsidRPr="003A4ECE">
        <w:trPr>
          <w:jc w:val="center"/>
        </w:trPr>
        <w:tc>
          <w:tcPr>
            <w:tcW w:w="2880" w:type="dxa"/>
            <w:shd w:val="clear" w:color="auto" w:fill="D9EAF7"/>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b/>
                <w:color w:val="auto"/>
              </w:rPr>
              <w:t>Review cycle</w:t>
            </w:r>
          </w:p>
        </w:tc>
        <w:tc>
          <w:tcPr>
            <w:tcW w:w="6912" w:type="dxa"/>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color w:val="auto"/>
              </w:rPr>
              <w:t xml:space="preserve">Annual, or </w:t>
            </w:r>
            <w:r w:rsidRPr="003A4ECE">
              <w:rPr>
                <w:rFonts w:ascii="Comic Sans MS" w:hAnsi="Comic Sans MS"/>
                <w:color w:val="auto"/>
              </w:rPr>
              <w:t>sooner following significant change</w:t>
            </w:r>
          </w:p>
        </w:tc>
      </w:tr>
      <w:tr w:rsidR="003A4ECE" w:rsidRPr="003A4ECE">
        <w:trPr>
          <w:jc w:val="center"/>
        </w:trPr>
        <w:tc>
          <w:tcPr>
            <w:tcW w:w="2880" w:type="dxa"/>
            <w:shd w:val="clear" w:color="auto" w:fill="D9EAF7"/>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b/>
                <w:color w:val="auto"/>
              </w:rPr>
              <w:t>Last reviewed</w:t>
            </w:r>
          </w:p>
        </w:tc>
        <w:tc>
          <w:tcPr>
            <w:tcW w:w="6912" w:type="dxa"/>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color w:val="auto"/>
              </w:rPr>
              <w:t>September 2026</w:t>
            </w:r>
          </w:p>
        </w:tc>
      </w:tr>
      <w:tr w:rsidR="003A4ECE" w:rsidRPr="003A4ECE">
        <w:trPr>
          <w:jc w:val="center"/>
        </w:trPr>
        <w:tc>
          <w:tcPr>
            <w:tcW w:w="2880" w:type="dxa"/>
            <w:shd w:val="clear" w:color="auto" w:fill="D9EAF7"/>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b/>
                <w:color w:val="auto"/>
              </w:rPr>
              <w:t>Next review due</w:t>
            </w:r>
          </w:p>
        </w:tc>
        <w:tc>
          <w:tcPr>
            <w:tcW w:w="6912" w:type="dxa"/>
            <w:tcMar>
              <w:top w:w="100" w:type="dxa"/>
              <w:left w:w="120" w:type="dxa"/>
              <w:bottom w:w="100" w:type="dxa"/>
              <w:right w:w="120" w:type="dxa"/>
            </w:tcMar>
            <w:vAlign w:val="center"/>
          </w:tcPr>
          <w:p w:rsidR="00A73C3B" w:rsidRPr="003A4ECE" w:rsidRDefault="00D24BF4">
            <w:pPr>
              <w:rPr>
                <w:rFonts w:ascii="Comic Sans MS" w:hAnsi="Comic Sans MS"/>
                <w:color w:val="auto"/>
              </w:rPr>
            </w:pPr>
            <w:r w:rsidRPr="003A4ECE">
              <w:rPr>
                <w:rFonts w:ascii="Comic Sans MS" w:hAnsi="Comic Sans MS"/>
                <w:color w:val="auto"/>
              </w:rPr>
              <w:t>September 2027</w:t>
            </w:r>
          </w:p>
        </w:tc>
      </w:tr>
    </w:tbl>
    <w:p w:rsidR="00A73C3B" w:rsidRPr="003A4ECE" w:rsidRDefault="00A73C3B">
      <w:pPr>
        <w:rPr>
          <w:rFonts w:ascii="Comic Sans MS" w:hAnsi="Comic Sans MS"/>
          <w:color w:val="auto"/>
        </w:rPr>
      </w:pPr>
    </w:p>
    <w:p w:rsidR="00A73C3B" w:rsidRPr="003A4ECE" w:rsidRDefault="00D24BF4">
      <w:pPr>
        <w:pStyle w:val="Heading1"/>
        <w:rPr>
          <w:rFonts w:ascii="Comic Sans MS" w:hAnsi="Comic Sans MS"/>
          <w:color w:val="auto"/>
        </w:rPr>
      </w:pPr>
      <w:r w:rsidRPr="003A4ECE">
        <w:rPr>
          <w:rFonts w:ascii="Comic Sans MS" w:hAnsi="Comic Sans MS"/>
          <w:color w:val="auto"/>
        </w:rPr>
        <w:t>1. Purpose and principles</w:t>
      </w:r>
    </w:p>
    <w:p w:rsidR="00A73C3B" w:rsidRPr="003A4ECE" w:rsidRDefault="00D24BF4">
      <w:pPr>
        <w:rPr>
          <w:rFonts w:ascii="Comic Sans MS" w:hAnsi="Comic Sans MS"/>
          <w:color w:val="auto"/>
        </w:rPr>
      </w:pPr>
      <w:r w:rsidRPr="003A4ECE">
        <w:rPr>
          <w:rFonts w:ascii="Comic Sans MS" w:hAnsi="Comic Sans MS"/>
          <w:color w:val="auto"/>
        </w:rPr>
        <w:t>High-quality teaching at Green Lane is ambitious, inclusive, responsive and rooted in secure knowledge of each pupil. It enables p</w:t>
      </w:r>
      <w:r w:rsidRPr="003A4ECE">
        <w:rPr>
          <w:rFonts w:ascii="Comic Sans MS" w:hAnsi="Comic Sans MS"/>
          <w:color w:val="auto"/>
        </w:rPr>
        <w:t>upils to access their curriculum entitlement, communicate, regulate, remember and apply learning, and become increasingly independent. The policy establishes shared principles while recognising that effective practice looks different across Cedar, Maple, E</w:t>
      </w:r>
      <w:r w:rsidRPr="003A4ECE">
        <w:rPr>
          <w:rFonts w:ascii="Comic Sans MS" w:hAnsi="Comic Sans MS"/>
          <w:color w:val="auto"/>
        </w:rPr>
        <w:t>lm, Willow and Oak pathways.</w:t>
      </w:r>
    </w:p>
    <w:p w:rsidR="00A73C3B" w:rsidRPr="003A4ECE" w:rsidRDefault="00D24BF4">
      <w:pPr>
        <w:pStyle w:val="ListBullet"/>
        <w:rPr>
          <w:rFonts w:ascii="Comic Sans MS" w:hAnsi="Comic Sans MS"/>
          <w:color w:val="auto"/>
        </w:rPr>
      </w:pPr>
      <w:r w:rsidRPr="003A4ECE">
        <w:rPr>
          <w:rFonts w:ascii="Comic Sans MS" w:hAnsi="Comic Sans MS"/>
          <w:color w:val="auto"/>
        </w:rPr>
        <w:t>Every pupil is capable of progress and deserves high expectations.</w:t>
      </w:r>
    </w:p>
    <w:p w:rsidR="00A73C3B" w:rsidRPr="003A4ECE" w:rsidRDefault="00D24BF4">
      <w:pPr>
        <w:pStyle w:val="ListBullet"/>
        <w:rPr>
          <w:rFonts w:ascii="Comic Sans MS" w:hAnsi="Comic Sans MS"/>
          <w:color w:val="auto"/>
        </w:rPr>
      </w:pPr>
      <w:r w:rsidRPr="003A4ECE">
        <w:rPr>
          <w:rFonts w:ascii="Comic Sans MS" w:hAnsi="Comic Sans MS"/>
          <w:color w:val="auto"/>
        </w:rPr>
        <w:t>Curriculum aims and intended learning determine teaching approaches, resources and assessment.</w:t>
      </w:r>
    </w:p>
    <w:p w:rsidR="00A73C3B" w:rsidRPr="003A4ECE" w:rsidRDefault="00D24BF4">
      <w:pPr>
        <w:pStyle w:val="ListBullet"/>
        <w:rPr>
          <w:rFonts w:ascii="Comic Sans MS" w:hAnsi="Comic Sans MS"/>
          <w:color w:val="auto"/>
        </w:rPr>
      </w:pPr>
      <w:r w:rsidRPr="003A4ECE">
        <w:rPr>
          <w:rFonts w:ascii="Comic Sans MS" w:hAnsi="Comic Sans MS"/>
          <w:color w:val="auto"/>
        </w:rPr>
        <w:t xml:space="preserve">Adaptive teaching and reasonable adjustments remove barriers </w:t>
      </w:r>
      <w:r w:rsidRPr="003A4ECE">
        <w:rPr>
          <w:rFonts w:ascii="Comic Sans MS" w:hAnsi="Comic Sans MS"/>
          <w:color w:val="auto"/>
        </w:rPr>
        <w:t>without lowering ambition.</w:t>
      </w:r>
    </w:p>
    <w:p w:rsidR="00A73C3B" w:rsidRPr="003A4ECE" w:rsidRDefault="00D24BF4">
      <w:pPr>
        <w:pStyle w:val="ListBullet"/>
        <w:rPr>
          <w:rFonts w:ascii="Comic Sans MS" w:hAnsi="Comic Sans MS"/>
          <w:color w:val="auto"/>
        </w:rPr>
      </w:pPr>
      <w:r w:rsidRPr="003A4ECE">
        <w:rPr>
          <w:rFonts w:ascii="Comic Sans MS" w:hAnsi="Comic Sans MS"/>
          <w:color w:val="auto"/>
        </w:rPr>
        <w:t>Warm, respectful relationships, predictable routines and emotional safety enable learning.</w:t>
      </w:r>
    </w:p>
    <w:p w:rsidR="00A73C3B" w:rsidRPr="003A4ECE" w:rsidRDefault="00D24BF4">
      <w:pPr>
        <w:pStyle w:val="ListBullet"/>
        <w:rPr>
          <w:rFonts w:ascii="Comic Sans MS" w:hAnsi="Comic Sans MS"/>
          <w:color w:val="auto"/>
        </w:rPr>
      </w:pPr>
      <w:r w:rsidRPr="003A4ECE">
        <w:rPr>
          <w:rFonts w:ascii="Comic Sans MS" w:hAnsi="Comic Sans MS"/>
          <w:color w:val="auto"/>
        </w:rPr>
        <w:t>Communication, sensory and physical access are planned from the outset.</w:t>
      </w:r>
    </w:p>
    <w:p w:rsidR="00A73C3B" w:rsidRPr="003A4ECE" w:rsidRDefault="00D24BF4">
      <w:pPr>
        <w:pStyle w:val="ListBullet"/>
        <w:rPr>
          <w:rFonts w:ascii="Comic Sans MS" w:hAnsi="Comic Sans MS"/>
          <w:color w:val="auto"/>
        </w:rPr>
      </w:pPr>
      <w:r w:rsidRPr="003A4ECE">
        <w:rPr>
          <w:rFonts w:ascii="Comic Sans MS" w:hAnsi="Comic Sans MS"/>
          <w:color w:val="auto"/>
        </w:rPr>
        <w:t>Teaching is evaluated through its impact on pupils, not conformity</w:t>
      </w:r>
      <w:r w:rsidRPr="003A4ECE">
        <w:rPr>
          <w:rFonts w:ascii="Comic Sans MS" w:hAnsi="Comic Sans MS"/>
          <w:color w:val="auto"/>
        </w:rPr>
        <w:t xml:space="preserve"> to one lesson format.</w:t>
      </w:r>
    </w:p>
    <w:p w:rsidR="00A73C3B" w:rsidRPr="003A4ECE" w:rsidRDefault="00D24BF4">
      <w:pPr>
        <w:pStyle w:val="Heading1"/>
        <w:rPr>
          <w:rFonts w:ascii="Comic Sans MS" w:hAnsi="Comic Sans MS"/>
          <w:color w:val="auto"/>
        </w:rPr>
      </w:pPr>
      <w:r w:rsidRPr="003A4ECE">
        <w:rPr>
          <w:rFonts w:ascii="Comic Sans MS" w:hAnsi="Comic Sans MS"/>
          <w:color w:val="auto"/>
        </w:rPr>
        <w:t>2. Characteristics of effective teaching</w:t>
      </w:r>
    </w:p>
    <w:p w:rsidR="00A73C3B" w:rsidRPr="003A4ECE" w:rsidRDefault="00D24BF4">
      <w:pPr>
        <w:pStyle w:val="Heading2"/>
        <w:rPr>
          <w:rFonts w:ascii="Comic Sans MS" w:hAnsi="Comic Sans MS"/>
          <w:color w:val="auto"/>
        </w:rPr>
      </w:pPr>
      <w:r w:rsidRPr="003A4ECE">
        <w:rPr>
          <w:rFonts w:ascii="Comic Sans MS" w:hAnsi="Comic Sans MS"/>
          <w:color w:val="auto"/>
        </w:rPr>
        <w:t>2.1 Knowing pupils and starting points</w:t>
      </w:r>
    </w:p>
    <w:p w:rsidR="00A73C3B" w:rsidRPr="003A4ECE" w:rsidRDefault="00D24BF4">
      <w:pPr>
        <w:rPr>
          <w:rFonts w:ascii="Comic Sans MS" w:hAnsi="Comic Sans MS"/>
          <w:color w:val="auto"/>
        </w:rPr>
      </w:pPr>
      <w:r w:rsidRPr="003A4ECE">
        <w:rPr>
          <w:rFonts w:ascii="Comic Sans MS" w:hAnsi="Comic Sans MS"/>
          <w:color w:val="auto"/>
        </w:rPr>
        <w:t xml:space="preserve">Teachers use EHCP information, assessment, previous learning, communication profiles, health and therapy advice, interests and family knowledge to plan. </w:t>
      </w:r>
      <w:r w:rsidRPr="003A4ECE">
        <w:rPr>
          <w:rFonts w:ascii="Comic Sans MS" w:hAnsi="Comic Sans MS"/>
          <w:color w:val="auto"/>
        </w:rPr>
        <w:t>Learning intentions are derived from the curriculum and made accessible to pupils; EHCP, SCERTS and therapy targets facilitate access and personal development but do not replace subject content.</w:t>
      </w:r>
    </w:p>
    <w:p w:rsidR="00A73C3B" w:rsidRPr="003A4ECE" w:rsidRDefault="00D24BF4">
      <w:pPr>
        <w:pStyle w:val="Heading2"/>
        <w:rPr>
          <w:rFonts w:ascii="Comic Sans MS" w:hAnsi="Comic Sans MS"/>
          <w:color w:val="auto"/>
        </w:rPr>
      </w:pPr>
      <w:r w:rsidRPr="003A4ECE">
        <w:rPr>
          <w:rFonts w:ascii="Comic Sans MS" w:hAnsi="Comic Sans MS"/>
          <w:color w:val="auto"/>
        </w:rPr>
        <w:t>2.2 Clear explanation, modelling and structure</w:t>
      </w:r>
    </w:p>
    <w:p w:rsidR="00A73C3B" w:rsidRPr="003A4ECE" w:rsidRDefault="00D24BF4">
      <w:pPr>
        <w:pStyle w:val="ListBullet"/>
        <w:rPr>
          <w:rFonts w:ascii="Comic Sans MS" w:hAnsi="Comic Sans MS"/>
          <w:color w:val="auto"/>
        </w:rPr>
      </w:pPr>
      <w:r w:rsidRPr="003A4ECE">
        <w:rPr>
          <w:rFonts w:ascii="Comic Sans MS" w:hAnsi="Comic Sans MS"/>
          <w:color w:val="auto"/>
        </w:rPr>
        <w:t>connect new le</w:t>
      </w:r>
      <w:r w:rsidRPr="003A4ECE">
        <w:rPr>
          <w:rFonts w:ascii="Comic Sans MS" w:hAnsi="Comic Sans MS"/>
          <w:color w:val="auto"/>
        </w:rPr>
        <w:t>arning to what pupils already know</w:t>
      </w:r>
    </w:p>
    <w:p w:rsidR="00A73C3B" w:rsidRPr="003A4ECE" w:rsidRDefault="00D24BF4">
      <w:pPr>
        <w:pStyle w:val="ListBullet"/>
        <w:rPr>
          <w:rFonts w:ascii="Comic Sans MS" w:hAnsi="Comic Sans MS"/>
          <w:color w:val="auto"/>
        </w:rPr>
      </w:pPr>
      <w:r w:rsidRPr="003A4ECE">
        <w:rPr>
          <w:rFonts w:ascii="Comic Sans MS" w:hAnsi="Comic Sans MS"/>
          <w:color w:val="auto"/>
        </w:rPr>
        <w:t>present content in manageable steps using precise, accessible language</w:t>
      </w:r>
    </w:p>
    <w:p w:rsidR="00A73C3B" w:rsidRPr="003A4ECE" w:rsidRDefault="00D24BF4">
      <w:pPr>
        <w:pStyle w:val="ListBullet"/>
        <w:rPr>
          <w:rFonts w:ascii="Comic Sans MS" w:hAnsi="Comic Sans MS"/>
          <w:color w:val="auto"/>
        </w:rPr>
      </w:pPr>
      <w:r w:rsidRPr="003A4ECE">
        <w:rPr>
          <w:rFonts w:ascii="Comic Sans MS" w:hAnsi="Comic Sans MS"/>
          <w:color w:val="auto"/>
        </w:rPr>
        <w:t>model thinking, processes, communication and successful outcomes</w:t>
      </w:r>
    </w:p>
    <w:p w:rsidR="00A73C3B" w:rsidRPr="003A4ECE" w:rsidRDefault="00D24BF4">
      <w:pPr>
        <w:pStyle w:val="ListBullet"/>
        <w:rPr>
          <w:rFonts w:ascii="Comic Sans MS" w:hAnsi="Comic Sans MS"/>
          <w:color w:val="auto"/>
        </w:rPr>
      </w:pPr>
      <w:r w:rsidRPr="003A4ECE">
        <w:rPr>
          <w:rFonts w:ascii="Comic Sans MS" w:hAnsi="Comic Sans MS"/>
          <w:color w:val="auto"/>
        </w:rPr>
        <w:t>use visual structure, concrete resources and worked examples as appropriate</w:t>
      </w:r>
    </w:p>
    <w:p w:rsidR="00A73C3B" w:rsidRPr="003A4ECE" w:rsidRDefault="00D24BF4">
      <w:pPr>
        <w:pStyle w:val="ListBullet"/>
        <w:rPr>
          <w:rFonts w:ascii="Comic Sans MS" w:hAnsi="Comic Sans MS"/>
          <w:color w:val="auto"/>
        </w:rPr>
      </w:pPr>
      <w:r w:rsidRPr="003A4ECE">
        <w:rPr>
          <w:rFonts w:ascii="Comic Sans MS" w:hAnsi="Comic Sans MS"/>
          <w:color w:val="auto"/>
        </w:rPr>
        <w:t>check und</w:t>
      </w:r>
      <w:r w:rsidRPr="003A4ECE">
        <w:rPr>
          <w:rFonts w:ascii="Comic Sans MS" w:hAnsi="Comic Sans MS"/>
          <w:color w:val="auto"/>
        </w:rPr>
        <w:t>erstanding and adjust teaching during the lesson</w:t>
      </w:r>
    </w:p>
    <w:p w:rsidR="00A73C3B" w:rsidRPr="003A4ECE" w:rsidRDefault="00D24BF4">
      <w:pPr>
        <w:pStyle w:val="ListBullet"/>
        <w:rPr>
          <w:rFonts w:ascii="Comic Sans MS" w:hAnsi="Comic Sans MS"/>
          <w:color w:val="auto"/>
        </w:rPr>
      </w:pPr>
      <w:r w:rsidRPr="003A4ECE">
        <w:rPr>
          <w:rFonts w:ascii="Comic Sans MS" w:hAnsi="Comic Sans MS"/>
          <w:color w:val="auto"/>
        </w:rPr>
        <w:t>provide guided and independent practice with sufficient repetition and processing time</w:t>
      </w:r>
    </w:p>
    <w:p w:rsidR="00A73C3B" w:rsidRPr="003A4ECE" w:rsidRDefault="00D24BF4">
      <w:pPr>
        <w:pStyle w:val="Heading2"/>
        <w:rPr>
          <w:rFonts w:ascii="Comic Sans MS" w:hAnsi="Comic Sans MS"/>
          <w:color w:val="auto"/>
        </w:rPr>
      </w:pPr>
      <w:r w:rsidRPr="003A4ECE">
        <w:rPr>
          <w:rFonts w:ascii="Comic Sans MS" w:hAnsi="Comic Sans MS"/>
          <w:color w:val="auto"/>
        </w:rPr>
        <w:t>2.3 Engagement, memory and independence</w:t>
      </w:r>
    </w:p>
    <w:p w:rsidR="00A73C3B" w:rsidRPr="003A4ECE" w:rsidRDefault="00D24BF4">
      <w:pPr>
        <w:rPr>
          <w:rFonts w:ascii="Comic Sans MS" w:hAnsi="Comic Sans MS"/>
          <w:color w:val="auto"/>
        </w:rPr>
      </w:pPr>
      <w:r w:rsidRPr="003A4ECE">
        <w:rPr>
          <w:rFonts w:ascii="Comic Sans MS" w:hAnsi="Comic Sans MS"/>
          <w:color w:val="auto"/>
        </w:rPr>
        <w:t xml:space="preserve">Teaching secures active participation rather than passive completion. Staff use </w:t>
      </w:r>
      <w:r w:rsidRPr="003A4ECE">
        <w:rPr>
          <w:rFonts w:ascii="Comic Sans MS" w:hAnsi="Comic Sans MS"/>
          <w:color w:val="auto"/>
        </w:rPr>
        <w:t>meaningful choice, sensory and practical exploration, questioning, retrieval, rehearsal and application. Support is carefully faded so pupils can demonstrate what they can do independently. Independence codes</w:t>
      </w:r>
      <w:bookmarkStart w:id="0" w:name="_GoBack"/>
      <w:bookmarkEnd w:id="0"/>
      <w:r w:rsidRPr="003A4ECE">
        <w:rPr>
          <w:rFonts w:ascii="Comic Sans MS" w:hAnsi="Comic Sans MS"/>
          <w:color w:val="auto"/>
        </w:rPr>
        <w:t xml:space="preserve"> I, IS and S may be used to make the level of su</w:t>
      </w:r>
      <w:r w:rsidRPr="003A4ECE">
        <w:rPr>
          <w:rFonts w:ascii="Comic Sans MS" w:hAnsi="Comic Sans MS"/>
          <w:color w:val="auto"/>
        </w:rPr>
        <w:t>pport transparent.</w:t>
      </w:r>
    </w:p>
    <w:p w:rsidR="00A73C3B" w:rsidRPr="003A4ECE" w:rsidRDefault="00D24BF4">
      <w:pPr>
        <w:pStyle w:val="Heading2"/>
        <w:rPr>
          <w:rFonts w:ascii="Comic Sans MS" w:hAnsi="Comic Sans MS"/>
          <w:color w:val="auto"/>
        </w:rPr>
      </w:pPr>
      <w:r w:rsidRPr="003A4ECE">
        <w:rPr>
          <w:rFonts w:ascii="Comic Sans MS" w:hAnsi="Comic Sans MS"/>
          <w:color w:val="auto"/>
        </w:rPr>
        <w:t>2.4 Communication and interaction</w:t>
      </w:r>
    </w:p>
    <w:p w:rsidR="00A73C3B" w:rsidRPr="003A4ECE" w:rsidRDefault="00D24BF4">
      <w:pPr>
        <w:rPr>
          <w:rFonts w:ascii="Comic Sans MS" w:hAnsi="Comic Sans MS"/>
          <w:color w:val="auto"/>
        </w:rPr>
      </w:pPr>
      <w:r w:rsidRPr="003A4ECE">
        <w:rPr>
          <w:rFonts w:ascii="Comic Sans MS" w:hAnsi="Comic Sans MS"/>
          <w:color w:val="auto"/>
        </w:rPr>
        <w:t>Staff follow the Inclusive Communication Policy and individual communication plans. They use speech, Makaton, symbols, objects of reference, PECS, AAC, partner-assisted approaches or other agreed systems</w:t>
      </w:r>
      <w:r w:rsidRPr="003A4ECE">
        <w:rPr>
          <w:rFonts w:ascii="Comic Sans MS" w:hAnsi="Comic Sans MS"/>
          <w:color w:val="auto"/>
        </w:rPr>
        <w:t xml:space="preserve"> consistently. Pupils are given genuine time and reason to communicate; adults avoid over-prompting or speaking for them.</w:t>
      </w:r>
    </w:p>
    <w:p w:rsidR="00A73C3B" w:rsidRPr="003A4ECE" w:rsidRDefault="00D24BF4">
      <w:pPr>
        <w:pStyle w:val="Heading1"/>
        <w:rPr>
          <w:rFonts w:ascii="Comic Sans MS" w:hAnsi="Comic Sans MS"/>
          <w:color w:val="auto"/>
        </w:rPr>
      </w:pPr>
      <w:r w:rsidRPr="003A4ECE">
        <w:rPr>
          <w:rFonts w:ascii="Comic Sans MS" w:hAnsi="Comic Sans MS"/>
          <w:color w:val="auto"/>
        </w:rPr>
        <w:lastRenderedPageBreak/>
        <w:t>3. Pathway-responsive pedagogy</w:t>
      </w:r>
    </w:p>
    <w:tbl>
      <w:tblPr>
        <w:tblW w:w="0" w:type="auto"/>
        <w:jc w:val="center"/>
        <w:tblLayout w:type="fixed"/>
        <w:tblLook w:val="04A0" w:firstRow="1" w:lastRow="0" w:firstColumn="1" w:lastColumn="0" w:noHBand="0" w:noVBand="1"/>
      </w:tblPr>
      <w:tblGrid>
        <w:gridCol w:w="5040"/>
        <w:gridCol w:w="5040"/>
      </w:tblGrid>
      <w:tr w:rsidR="003A4ECE" w:rsidRPr="003A4ECE">
        <w:trPr>
          <w:jc w:val="center"/>
        </w:trPr>
        <w:tc>
          <w:tcPr>
            <w:tcW w:w="5040" w:type="dxa"/>
            <w:shd w:val="clear" w:color="auto" w:fill="17365D"/>
          </w:tcPr>
          <w:p w:rsidR="00A73C3B" w:rsidRPr="003A4ECE" w:rsidRDefault="00D24BF4">
            <w:pPr>
              <w:rPr>
                <w:rFonts w:ascii="Comic Sans MS" w:hAnsi="Comic Sans MS"/>
                <w:color w:val="auto"/>
              </w:rPr>
            </w:pPr>
            <w:r w:rsidRPr="003A4ECE">
              <w:rPr>
                <w:rFonts w:ascii="Comic Sans MS" w:hAnsi="Comic Sans MS"/>
                <w:b/>
                <w:color w:val="auto"/>
              </w:rPr>
              <w:t>Pathway</w:t>
            </w:r>
          </w:p>
        </w:tc>
        <w:tc>
          <w:tcPr>
            <w:tcW w:w="5040" w:type="dxa"/>
            <w:shd w:val="clear" w:color="auto" w:fill="17365D"/>
          </w:tcPr>
          <w:p w:rsidR="00A73C3B" w:rsidRPr="003A4ECE" w:rsidRDefault="00D24BF4">
            <w:pPr>
              <w:rPr>
                <w:rFonts w:ascii="Comic Sans MS" w:hAnsi="Comic Sans MS"/>
                <w:color w:val="auto"/>
              </w:rPr>
            </w:pPr>
            <w:r w:rsidRPr="003A4ECE">
              <w:rPr>
                <w:rFonts w:ascii="Comic Sans MS" w:hAnsi="Comic Sans MS"/>
                <w:b/>
                <w:color w:val="auto"/>
              </w:rPr>
              <w:t>Typical emphasis (not a checklist)</w:t>
            </w:r>
          </w:p>
        </w:tc>
      </w:tr>
      <w:tr w:rsidR="003A4ECE" w:rsidRPr="003A4ECE">
        <w:trPr>
          <w:jc w:val="center"/>
        </w:trPr>
        <w:tc>
          <w:tcPr>
            <w:tcW w:w="5040" w:type="dxa"/>
            <w:shd w:val="clear" w:color="auto" w:fill="D9EAF7"/>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b/>
                <w:color w:val="auto"/>
              </w:rPr>
              <w:t>Cedar</w:t>
            </w:r>
          </w:p>
        </w:tc>
        <w:tc>
          <w:tcPr>
            <w:tcW w:w="5040" w:type="dxa"/>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color w:val="auto"/>
              </w:rPr>
              <w:t xml:space="preserve">Play-based and adult-led learning, responsive </w:t>
            </w:r>
            <w:r w:rsidRPr="003A4ECE">
              <w:rPr>
                <w:rFonts w:ascii="Comic Sans MS" w:hAnsi="Comic Sans MS"/>
                <w:color w:val="auto"/>
              </w:rPr>
              <w:t>interaction, continuous provision, early communication and systematic phonics, with observation informing next steps.</w:t>
            </w:r>
          </w:p>
        </w:tc>
      </w:tr>
      <w:tr w:rsidR="003A4ECE" w:rsidRPr="003A4ECE">
        <w:trPr>
          <w:jc w:val="center"/>
        </w:trPr>
        <w:tc>
          <w:tcPr>
            <w:tcW w:w="5040" w:type="dxa"/>
            <w:shd w:val="clear" w:color="auto" w:fill="D9EAF7"/>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b/>
                <w:color w:val="auto"/>
              </w:rPr>
              <w:t>Maple</w:t>
            </w:r>
          </w:p>
        </w:tc>
        <w:tc>
          <w:tcPr>
            <w:tcW w:w="5040" w:type="dxa"/>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color w:val="auto"/>
              </w:rPr>
              <w:t>Sensory and experiential teaching, repetition, Intensive Interaction and engagement-focused observation, with responses interpreted</w:t>
            </w:r>
            <w:r w:rsidRPr="003A4ECE">
              <w:rPr>
                <w:rFonts w:ascii="Comic Sans MS" w:hAnsi="Comic Sans MS"/>
                <w:color w:val="auto"/>
              </w:rPr>
              <w:t xml:space="preserve"> carefully and opportunities for initiation protected.</w:t>
            </w:r>
          </w:p>
        </w:tc>
      </w:tr>
      <w:tr w:rsidR="003A4ECE" w:rsidRPr="003A4ECE">
        <w:trPr>
          <w:jc w:val="center"/>
        </w:trPr>
        <w:tc>
          <w:tcPr>
            <w:tcW w:w="5040" w:type="dxa"/>
            <w:shd w:val="clear" w:color="auto" w:fill="D9EAF7"/>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b/>
                <w:color w:val="auto"/>
              </w:rPr>
              <w:t>Elm</w:t>
            </w:r>
          </w:p>
        </w:tc>
        <w:tc>
          <w:tcPr>
            <w:tcW w:w="5040" w:type="dxa"/>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color w:val="auto"/>
              </w:rPr>
              <w:t>Highly structured, visually supported and communication-rich learning with purposeful connections, repetition and supported generalisation.</w:t>
            </w:r>
          </w:p>
        </w:tc>
      </w:tr>
      <w:tr w:rsidR="003A4ECE" w:rsidRPr="003A4ECE">
        <w:trPr>
          <w:jc w:val="center"/>
        </w:trPr>
        <w:tc>
          <w:tcPr>
            <w:tcW w:w="5040" w:type="dxa"/>
            <w:shd w:val="clear" w:color="auto" w:fill="D9EAF7"/>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b/>
                <w:color w:val="auto"/>
              </w:rPr>
              <w:t>Willow</w:t>
            </w:r>
          </w:p>
        </w:tc>
        <w:tc>
          <w:tcPr>
            <w:tcW w:w="5040" w:type="dxa"/>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color w:val="auto"/>
              </w:rPr>
              <w:t>Explicit teaching combined with practical and cr</w:t>
            </w:r>
            <w:r w:rsidRPr="003A4ECE">
              <w:rPr>
                <w:rFonts w:ascii="Comic Sans MS" w:hAnsi="Comic Sans MS"/>
                <w:color w:val="auto"/>
              </w:rPr>
              <w:t>eative application; clear subject identity, supported recording and planned development of independence.</w:t>
            </w:r>
          </w:p>
        </w:tc>
      </w:tr>
      <w:tr w:rsidR="003A4ECE" w:rsidRPr="003A4ECE">
        <w:trPr>
          <w:jc w:val="center"/>
        </w:trPr>
        <w:tc>
          <w:tcPr>
            <w:tcW w:w="5040" w:type="dxa"/>
            <w:shd w:val="clear" w:color="auto" w:fill="D9EAF7"/>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b/>
                <w:color w:val="auto"/>
              </w:rPr>
              <w:t>Oak</w:t>
            </w:r>
          </w:p>
        </w:tc>
        <w:tc>
          <w:tcPr>
            <w:tcW w:w="5040" w:type="dxa"/>
            <w:tcMar>
              <w:top w:w="100" w:type="dxa"/>
              <w:left w:w="120" w:type="dxa"/>
              <w:bottom w:w="100" w:type="dxa"/>
              <w:right w:w="120" w:type="dxa"/>
            </w:tcMar>
          </w:tcPr>
          <w:p w:rsidR="00A73C3B" w:rsidRPr="003A4ECE" w:rsidRDefault="00D24BF4">
            <w:pPr>
              <w:rPr>
                <w:rFonts w:ascii="Comic Sans MS" w:hAnsi="Comic Sans MS"/>
                <w:color w:val="auto"/>
              </w:rPr>
            </w:pPr>
            <w:r w:rsidRPr="003A4ECE">
              <w:rPr>
                <w:rFonts w:ascii="Comic Sans MS" w:hAnsi="Comic Sans MS"/>
                <w:color w:val="auto"/>
              </w:rPr>
              <w:t xml:space="preserve">Subject-specific instruction, modelling, practice, feedback, retrieval and application, increasingly linked to qualifications, functional use and </w:t>
            </w:r>
            <w:r w:rsidRPr="003A4ECE">
              <w:rPr>
                <w:rFonts w:ascii="Comic Sans MS" w:hAnsi="Comic Sans MS"/>
                <w:color w:val="auto"/>
              </w:rPr>
              <w:t>preparation for adulthood.</w:t>
            </w:r>
          </w:p>
        </w:tc>
      </w:tr>
    </w:tbl>
    <w:p w:rsidR="00A73C3B" w:rsidRPr="003A4ECE" w:rsidRDefault="00D24BF4">
      <w:pPr>
        <w:pStyle w:val="Heading1"/>
        <w:rPr>
          <w:rFonts w:ascii="Comic Sans MS" w:hAnsi="Comic Sans MS"/>
          <w:color w:val="auto"/>
        </w:rPr>
      </w:pPr>
      <w:r w:rsidRPr="003A4ECE">
        <w:rPr>
          <w:rFonts w:ascii="Comic Sans MS" w:hAnsi="Comic Sans MS"/>
          <w:color w:val="auto"/>
        </w:rPr>
        <w:t>4. Learning environment and resources</w:t>
      </w:r>
    </w:p>
    <w:p w:rsidR="00A73C3B" w:rsidRPr="003A4ECE" w:rsidRDefault="00D24BF4">
      <w:pPr>
        <w:pStyle w:val="ListBullet"/>
        <w:rPr>
          <w:rFonts w:ascii="Comic Sans MS" w:hAnsi="Comic Sans MS"/>
          <w:color w:val="auto"/>
        </w:rPr>
      </w:pPr>
      <w:r w:rsidRPr="003A4ECE">
        <w:rPr>
          <w:rFonts w:ascii="Comic Sans MS" w:hAnsi="Comic Sans MS"/>
          <w:color w:val="auto"/>
        </w:rPr>
        <w:t>calm, safe, organised and matched to pupils’ sensory and physical access needs</w:t>
      </w:r>
    </w:p>
    <w:p w:rsidR="00A73C3B" w:rsidRPr="003A4ECE" w:rsidRDefault="00D24BF4">
      <w:pPr>
        <w:pStyle w:val="ListBullet"/>
        <w:rPr>
          <w:rFonts w:ascii="Comic Sans MS" w:hAnsi="Comic Sans MS"/>
          <w:color w:val="auto"/>
        </w:rPr>
      </w:pPr>
      <w:r w:rsidRPr="003A4ECE">
        <w:rPr>
          <w:rFonts w:ascii="Comic Sans MS" w:hAnsi="Comic Sans MS"/>
          <w:color w:val="auto"/>
        </w:rPr>
        <w:t>visually clear, with routines, schedules and resources pupils can use increasingly independently</w:t>
      </w:r>
    </w:p>
    <w:p w:rsidR="00A73C3B" w:rsidRPr="003A4ECE" w:rsidRDefault="00D24BF4">
      <w:pPr>
        <w:pStyle w:val="ListBullet"/>
        <w:rPr>
          <w:rFonts w:ascii="Comic Sans MS" w:hAnsi="Comic Sans MS"/>
          <w:color w:val="auto"/>
        </w:rPr>
      </w:pPr>
      <w:r w:rsidRPr="003A4ECE">
        <w:rPr>
          <w:rFonts w:ascii="Comic Sans MS" w:hAnsi="Comic Sans MS"/>
          <w:color w:val="auto"/>
        </w:rPr>
        <w:t xml:space="preserve">rich in </w:t>
      </w:r>
      <w:r w:rsidRPr="003A4ECE">
        <w:rPr>
          <w:rFonts w:ascii="Comic Sans MS" w:hAnsi="Comic Sans MS"/>
          <w:color w:val="auto"/>
        </w:rPr>
        <w:t>accessible, age-respectful and culturally representative texts, images and examples</w:t>
      </w:r>
    </w:p>
    <w:p w:rsidR="00A73C3B" w:rsidRPr="003A4ECE" w:rsidRDefault="00D24BF4">
      <w:pPr>
        <w:pStyle w:val="ListBullet"/>
        <w:rPr>
          <w:rFonts w:ascii="Comic Sans MS" w:hAnsi="Comic Sans MS"/>
          <w:color w:val="auto"/>
        </w:rPr>
      </w:pPr>
      <w:r w:rsidRPr="003A4ECE">
        <w:rPr>
          <w:rFonts w:ascii="Comic Sans MS" w:hAnsi="Comic Sans MS"/>
          <w:color w:val="auto"/>
        </w:rPr>
        <w:t>equipped to support regulation without unnecessarily separating pupils from learning</w:t>
      </w:r>
    </w:p>
    <w:p w:rsidR="00A73C3B" w:rsidRPr="003A4ECE" w:rsidRDefault="00D24BF4">
      <w:pPr>
        <w:pStyle w:val="ListBullet"/>
        <w:rPr>
          <w:rFonts w:ascii="Comic Sans MS" w:hAnsi="Comic Sans MS"/>
          <w:color w:val="auto"/>
        </w:rPr>
      </w:pPr>
      <w:r w:rsidRPr="003A4ECE">
        <w:rPr>
          <w:rFonts w:ascii="Comic Sans MS" w:hAnsi="Comic Sans MS"/>
          <w:color w:val="auto"/>
        </w:rPr>
        <w:t>managed safely, including risk assessment for practical activities and appropriate onli</w:t>
      </w:r>
      <w:r w:rsidRPr="003A4ECE">
        <w:rPr>
          <w:rFonts w:ascii="Comic Sans MS" w:hAnsi="Comic Sans MS"/>
          <w:color w:val="auto"/>
        </w:rPr>
        <w:t>ne-safety and data-protection controls</w:t>
      </w:r>
    </w:p>
    <w:p w:rsidR="00A73C3B" w:rsidRPr="003A4ECE" w:rsidRDefault="00D24BF4">
      <w:pPr>
        <w:pStyle w:val="Heading1"/>
        <w:rPr>
          <w:rFonts w:ascii="Comic Sans MS" w:hAnsi="Comic Sans MS"/>
          <w:color w:val="auto"/>
        </w:rPr>
      </w:pPr>
      <w:r w:rsidRPr="003A4ECE">
        <w:rPr>
          <w:rFonts w:ascii="Comic Sans MS" w:hAnsi="Comic Sans MS"/>
          <w:color w:val="auto"/>
        </w:rPr>
        <w:t>5. Planning and curriculum connections</w:t>
      </w:r>
    </w:p>
    <w:p w:rsidR="00A73C3B" w:rsidRPr="003A4ECE" w:rsidRDefault="00D24BF4">
      <w:pPr>
        <w:rPr>
          <w:rFonts w:ascii="Comic Sans MS" w:hAnsi="Comic Sans MS"/>
          <w:color w:val="auto"/>
        </w:rPr>
      </w:pPr>
      <w:r w:rsidRPr="003A4ECE">
        <w:rPr>
          <w:rFonts w:ascii="Comic Sans MS" w:hAnsi="Comic Sans MS"/>
          <w:color w:val="auto"/>
        </w:rPr>
        <w:t>Teachers use subject and pathway long-term plans and medium-term plans to identify intended learning, essential vocabulary and suitable experiences. Short-term planning is propor</w:t>
      </w:r>
      <w:r w:rsidRPr="003A4ECE">
        <w:rPr>
          <w:rFonts w:ascii="Comic Sans MS" w:hAnsi="Comic Sans MS"/>
          <w:color w:val="auto"/>
        </w:rPr>
        <w:t>tionate and responsive. Cross-curricular links are used when they strengthen understanding, while subject identity and progression remain clear. Planning considers reading, communication, numeracy, British Values, cultural development, careers and preparat</w:t>
      </w:r>
      <w:r w:rsidRPr="003A4ECE">
        <w:rPr>
          <w:rFonts w:ascii="Comic Sans MS" w:hAnsi="Comic Sans MS"/>
          <w:color w:val="auto"/>
        </w:rPr>
        <w:t>ion for adulthood where relevant, rather than forcing every element into every lesson.</w:t>
      </w:r>
    </w:p>
    <w:p w:rsidR="00A73C3B" w:rsidRPr="003A4ECE" w:rsidRDefault="00D24BF4">
      <w:pPr>
        <w:pStyle w:val="Heading1"/>
        <w:rPr>
          <w:rFonts w:ascii="Comic Sans MS" w:hAnsi="Comic Sans MS"/>
          <w:color w:val="auto"/>
        </w:rPr>
      </w:pPr>
      <w:r w:rsidRPr="003A4ECE">
        <w:rPr>
          <w:rFonts w:ascii="Comic Sans MS" w:hAnsi="Comic Sans MS"/>
          <w:color w:val="auto"/>
        </w:rPr>
        <w:lastRenderedPageBreak/>
        <w:t>6. Assessment, feedback and home learning</w:t>
      </w:r>
    </w:p>
    <w:p w:rsidR="00A73C3B" w:rsidRPr="003A4ECE" w:rsidRDefault="00D24BF4">
      <w:pPr>
        <w:rPr>
          <w:rFonts w:ascii="Comic Sans MS" w:hAnsi="Comic Sans MS"/>
          <w:color w:val="auto"/>
        </w:rPr>
      </w:pPr>
      <w:r w:rsidRPr="003A4ECE">
        <w:rPr>
          <w:rFonts w:ascii="Comic Sans MS" w:hAnsi="Comic Sans MS"/>
          <w:color w:val="auto"/>
        </w:rPr>
        <w:t>Assessment is ongoing and identifies what pupils know, remember, apply and do independently. Feedback is timely and accessible;</w:t>
      </w:r>
      <w:r w:rsidRPr="003A4ECE">
        <w:rPr>
          <w:rFonts w:ascii="Comic Sans MS" w:hAnsi="Comic Sans MS"/>
          <w:color w:val="auto"/>
        </w:rPr>
        <w:t xml:space="preserve"> it may be verbal, visual, practical, gestural, signed, AAC-supported or written. Written marking is used only when it will be understood and acted upon. Staff follow the separate Assessment, Marking and Feedback Policy, including the whole-school colour a</w:t>
      </w:r>
      <w:r w:rsidRPr="003A4ECE">
        <w:rPr>
          <w:rFonts w:ascii="Comic Sans MS" w:hAnsi="Comic Sans MS"/>
          <w:color w:val="auto"/>
        </w:rPr>
        <w:t>nd independence conventions and phase homework expectations.</w:t>
      </w:r>
    </w:p>
    <w:p w:rsidR="00A73C3B" w:rsidRPr="003A4ECE" w:rsidRDefault="00D24BF4">
      <w:pPr>
        <w:pStyle w:val="Heading1"/>
        <w:rPr>
          <w:rFonts w:ascii="Comic Sans MS" w:hAnsi="Comic Sans MS"/>
          <w:color w:val="auto"/>
        </w:rPr>
      </w:pPr>
      <w:r w:rsidRPr="003A4ECE">
        <w:rPr>
          <w:rFonts w:ascii="Comic Sans MS" w:hAnsi="Comic Sans MS"/>
          <w:color w:val="auto"/>
        </w:rPr>
        <w:t>7. Behaviour, regulation and relationships</w:t>
      </w:r>
    </w:p>
    <w:p w:rsidR="00A73C3B" w:rsidRPr="003A4ECE" w:rsidRDefault="00D24BF4">
      <w:pPr>
        <w:rPr>
          <w:rFonts w:ascii="Comic Sans MS" w:hAnsi="Comic Sans MS"/>
          <w:color w:val="auto"/>
        </w:rPr>
      </w:pPr>
      <w:r w:rsidRPr="003A4ECE">
        <w:rPr>
          <w:rFonts w:ascii="Comic Sans MS" w:hAnsi="Comic Sans MS"/>
          <w:color w:val="auto"/>
        </w:rPr>
        <w:t>Staff recognise that regulation, communication and behaviour are closely connected to learning. They teach expectations explicitly, use relational and l</w:t>
      </w:r>
      <w:r w:rsidRPr="003A4ECE">
        <w:rPr>
          <w:rFonts w:ascii="Comic Sans MS" w:hAnsi="Comic Sans MS"/>
          <w:color w:val="auto"/>
        </w:rPr>
        <w:t>ow-arousal approaches, provide predictable routines and support co-regulation. Behaviour that communicates unmet need is explored without removing appropriate boundaries or expectations. The school’s behaviour and safeguarding procedures are followed at al</w:t>
      </w:r>
      <w:r w:rsidRPr="003A4ECE">
        <w:rPr>
          <w:rFonts w:ascii="Comic Sans MS" w:hAnsi="Comic Sans MS"/>
          <w:color w:val="auto"/>
        </w:rPr>
        <w:t>l times.</w:t>
      </w:r>
    </w:p>
    <w:p w:rsidR="00A73C3B" w:rsidRPr="003A4ECE" w:rsidRDefault="00D24BF4">
      <w:pPr>
        <w:pStyle w:val="Heading1"/>
        <w:rPr>
          <w:rFonts w:ascii="Comic Sans MS" w:hAnsi="Comic Sans MS"/>
          <w:color w:val="auto"/>
        </w:rPr>
      </w:pPr>
      <w:r w:rsidRPr="003A4ECE">
        <w:rPr>
          <w:rFonts w:ascii="Comic Sans MS" w:hAnsi="Comic Sans MS"/>
          <w:color w:val="auto"/>
        </w:rPr>
        <w:t>8. Roles and professional development</w:t>
      </w:r>
    </w:p>
    <w:p w:rsidR="00A73C3B" w:rsidRPr="003A4ECE" w:rsidRDefault="00D24BF4">
      <w:pPr>
        <w:pStyle w:val="ListBullet"/>
        <w:rPr>
          <w:rFonts w:ascii="Comic Sans MS" w:hAnsi="Comic Sans MS"/>
          <w:color w:val="auto"/>
        </w:rPr>
      </w:pPr>
      <w:r w:rsidRPr="003A4ECE">
        <w:rPr>
          <w:rFonts w:ascii="Comic Sans MS" w:hAnsi="Comic Sans MS"/>
          <w:color w:val="auto"/>
        </w:rPr>
        <w:t>The governing body monitors strategic effectiveness and statutory compliance.</w:t>
      </w:r>
    </w:p>
    <w:p w:rsidR="00A73C3B" w:rsidRPr="003A4ECE" w:rsidRDefault="00D24BF4">
      <w:pPr>
        <w:pStyle w:val="ListBullet"/>
        <w:rPr>
          <w:rFonts w:ascii="Comic Sans MS" w:hAnsi="Comic Sans MS"/>
          <w:color w:val="auto"/>
        </w:rPr>
      </w:pPr>
      <w:r w:rsidRPr="003A4ECE">
        <w:rPr>
          <w:rFonts w:ascii="Comic Sans MS" w:hAnsi="Comic Sans MS"/>
          <w:color w:val="auto"/>
        </w:rPr>
        <w:t>The Headteacher and Quality of Education Lead set expectations, evaluate quality and ensure support and CPD.</w:t>
      </w:r>
    </w:p>
    <w:p w:rsidR="00A73C3B" w:rsidRPr="003A4ECE" w:rsidRDefault="00D24BF4">
      <w:pPr>
        <w:pStyle w:val="ListBullet"/>
        <w:rPr>
          <w:rFonts w:ascii="Comic Sans MS" w:hAnsi="Comic Sans MS"/>
          <w:color w:val="auto"/>
        </w:rPr>
      </w:pPr>
      <w:r w:rsidRPr="003A4ECE">
        <w:rPr>
          <w:rFonts w:ascii="Comic Sans MS" w:hAnsi="Comic Sans MS"/>
          <w:color w:val="auto"/>
        </w:rPr>
        <w:t>Pathway and subject le</w:t>
      </w:r>
      <w:r w:rsidRPr="003A4ECE">
        <w:rPr>
          <w:rFonts w:ascii="Comic Sans MS" w:hAnsi="Comic Sans MS"/>
          <w:color w:val="auto"/>
        </w:rPr>
        <w:t>aders clarify curriculum and pedagogy, model practice and respond to monitoring.</w:t>
      </w:r>
    </w:p>
    <w:p w:rsidR="00A73C3B" w:rsidRPr="003A4ECE" w:rsidRDefault="00D24BF4">
      <w:pPr>
        <w:pStyle w:val="ListBullet"/>
        <w:rPr>
          <w:rFonts w:ascii="Comic Sans MS" w:hAnsi="Comic Sans MS"/>
          <w:color w:val="auto"/>
        </w:rPr>
      </w:pPr>
      <w:r w:rsidRPr="003A4ECE">
        <w:rPr>
          <w:rFonts w:ascii="Comic Sans MS" w:hAnsi="Comic Sans MS"/>
          <w:color w:val="auto"/>
        </w:rPr>
        <w:t>Teachers remain responsible for planning, teaching, assessment and the deployment of support staff.</w:t>
      </w:r>
    </w:p>
    <w:p w:rsidR="00A73C3B" w:rsidRPr="003A4ECE" w:rsidRDefault="00D24BF4">
      <w:pPr>
        <w:pStyle w:val="ListBullet"/>
        <w:rPr>
          <w:rFonts w:ascii="Comic Sans MS" w:hAnsi="Comic Sans MS"/>
          <w:color w:val="auto"/>
        </w:rPr>
      </w:pPr>
      <w:r w:rsidRPr="003A4ECE">
        <w:rPr>
          <w:rFonts w:ascii="Comic Sans MS" w:hAnsi="Comic Sans MS"/>
          <w:color w:val="auto"/>
        </w:rPr>
        <w:t>Teaching assistants contribute observations, deliver agreed support under t</w:t>
      </w:r>
      <w:r w:rsidRPr="003A4ECE">
        <w:rPr>
          <w:rFonts w:ascii="Comic Sans MS" w:hAnsi="Comic Sans MS"/>
          <w:color w:val="auto"/>
        </w:rPr>
        <w:t>eacher direction and promote—not replace—pupil independence.</w:t>
      </w:r>
    </w:p>
    <w:p w:rsidR="00A73C3B" w:rsidRPr="003A4ECE" w:rsidRDefault="00D24BF4">
      <w:pPr>
        <w:pStyle w:val="ListBullet"/>
        <w:rPr>
          <w:rFonts w:ascii="Comic Sans MS" w:hAnsi="Comic Sans MS"/>
          <w:color w:val="auto"/>
        </w:rPr>
      </w:pPr>
      <w:r w:rsidRPr="003A4ECE">
        <w:rPr>
          <w:rFonts w:ascii="Comic Sans MS" w:hAnsi="Comic Sans MS"/>
          <w:color w:val="auto"/>
        </w:rPr>
        <w:t>All staff engage with coaching, moderation, professional dialogue and training relevant to pupils and their roles.</w:t>
      </w:r>
    </w:p>
    <w:p w:rsidR="00A73C3B" w:rsidRPr="003A4ECE" w:rsidRDefault="00D24BF4">
      <w:pPr>
        <w:pStyle w:val="Heading1"/>
        <w:rPr>
          <w:rFonts w:ascii="Comic Sans MS" w:hAnsi="Comic Sans MS"/>
          <w:color w:val="auto"/>
        </w:rPr>
      </w:pPr>
      <w:r w:rsidRPr="003A4ECE">
        <w:rPr>
          <w:rFonts w:ascii="Comic Sans MS" w:hAnsi="Comic Sans MS"/>
          <w:color w:val="auto"/>
        </w:rPr>
        <w:t>9. Monitoring and improvement</w:t>
      </w:r>
    </w:p>
    <w:p w:rsidR="00A73C3B" w:rsidRPr="003A4ECE" w:rsidRDefault="00D24BF4">
      <w:pPr>
        <w:rPr>
          <w:rFonts w:ascii="Comic Sans MS" w:hAnsi="Comic Sans MS"/>
          <w:color w:val="auto"/>
        </w:rPr>
      </w:pPr>
      <w:r w:rsidRPr="003A4ECE">
        <w:rPr>
          <w:rFonts w:ascii="Comic Sans MS" w:hAnsi="Comic Sans MS"/>
          <w:color w:val="auto"/>
        </w:rPr>
        <w:t>Evaluation is developmental, proportionate and tri</w:t>
      </w:r>
      <w:r w:rsidRPr="003A4ECE">
        <w:rPr>
          <w:rFonts w:ascii="Comic Sans MS" w:hAnsi="Comic Sans MS"/>
          <w:color w:val="auto"/>
        </w:rPr>
        <w:t>angulated. Leaders use learning visits, planning/work and Evidence for Learning review, staff discussion, pupil voice, case studies, assessment information and family feedback. No single lesson, book or data point is treated as definitive. Monitoring consi</w:t>
      </w:r>
      <w:r w:rsidRPr="003A4ECE">
        <w:rPr>
          <w:rFonts w:ascii="Comic Sans MS" w:hAnsi="Comic Sans MS"/>
          <w:color w:val="auto"/>
        </w:rPr>
        <w:t>ders curriculum intent, implementation, inclusion, safeguarding and impact across pathways, and results in clear feedback, support and manageable actions.</w:t>
      </w:r>
    </w:p>
    <w:p w:rsidR="00A73C3B" w:rsidRPr="003A4ECE" w:rsidRDefault="00D24BF4">
      <w:pPr>
        <w:pStyle w:val="Heading1"/>
        <w:rPr>
          <w:rFonts w:ascii="Comic Sans MS" w:hAnsi="Comic Sans MS"/>
          <w:color w:val="auto"/>
        </w:rPr>
      </w:pPr>
      <w:r w:rsidRPr="003A4ECE">
        <w:rPr>
          <w:rFonts w:ascii="Comic Sans MS" w:hAnsi="Comic Sans MS"/>
          <w:color w:val="auto"/>
        </w:rPr>
        <w:t>10. Equality, safeguarding and British Values</w:t>
      </w:r>
    </w:p>
    <w:p w:rsidR="00A73C3B" w:rsidRPr="003A4ECE" w:rsidRDefault="00D24BF4">
      <w:pPr>
        <w:rPr>
          <w:rFonts w:ascii="Comic Sans MS" w:hAnsi="Comic Sans MS"/>
          <w:color w:val="auto"/>
        </w:rPr>
      </w:pPr>
      <w:r w:rsidRPr="003A4ECE">
        <w:rPr>
          <w:rFonts w:ascii="Comic Sans MS" w:hAnsi="Comic Sans MS"/>
          <w:color w:val="auto"/>
        </w:rPr>
        <w:t>Teaching actively challenges stereotypes and discrimina</w:t>
      </w:r>
      <w:r w:rsidRPr="003A4ECE">
        <w:rPr>
          <w:rFonts w:ascii="Comic Sans MS" w:hAnsi="Comic Sans MS"/>
          <w:color w:val="auto"/>
        </w:rPr>
        <w:t>tion, represents diverse lives and communities and makes reasonable adjustments under the Equality Act. Fundamental British Values are developed through curriculum content, classroom participation, relationships and pupil voice. Staff teach safe choices, c</w:t>
      </w:r>
      <w:r w:rsidRPr="003A4ECE">
        <w:rPr>
          <w:rFonts w:ascii="Comic Sans MS" w:hAnsi="Comic Sans MS"/>
          <w:color w:val="auto"/>
        </w:rPr>
        <w:t>onsent, online safety and how to seek help, and respond to concerns or disclosures through safeguarding procedures.</w:t>
      </w:r>
    </w:p>
    <w:p w:rsidR="00A73C3B" w:rsidRPr="003A4ECE" w:rsidRDefault="00D24BF4">
      <w:pPr>
        <w:pStyle w:val="Heading1"/>
        <w:rPr>
          <w:rFonts w:ascii="Comic Sans MS" w:hAnsi="Comic Sans MS"/>
          <w:color w:val="auto"/>
        </w:rPr>
      </w:pPr>
      <w:r w:rsidRPr="003A4ECE">
        <w:rPr>
          <w:rFonts w:ascii="Comic Sans MS" w:hAnsi="Comic Sans MS"/>
          <w:color w:val="auto"/>
        </w:rPr>
        <w:t>Related policies and documents</w:t>
      </w:r>
    </w:p>
    <w:p w:rsidR="00A73C3B" w:rsidRPr="003A4ECE" w:rsidRDefault="00D24BF4">
      <w:pPr>
        <w:pStyle w:val="ListBullet"/>
        <w:rPr>
          <w:rFonts w:ascii="Comic Sans MS" w:hAnsi="Comic Sans MS"/>
          <w:color w:val="auto"/>
        </w:rPr>
      </w:pPr>
      <w:r w:rsidRPr="003A4ECE">
        <w:rPr>
          <w:rFonts w:ascii="Comic Sans MS" w:hAnsi="Comic Sans MS"/>
          <w:color w:val="auto"/>
        </w:rPr>
        <w:t>Curriculum Policy</w:t>
      </w:r>
    </w:p>
    <w:p w:rsidR="00A73C3B" w:rsidRPr="003A4ECE" w:rsidRDefault="00D24BF4">
      <w:pPr>
        <w:pStyle w:val="ListBullet"/>
        <w:rPr>
          <w:rFonts w:ascii="Comic Sans MS" w:hAnsi="Comic Sans MS"/>
          <w:color w:val="auto"/>
        </w:rPr>
      </w:pPr>
      <w:r w:rsidRPr="003A4ECE">
        <w:rPr>
          <w:rFonts w:ascii="Comic Sans MS" w:hAnsi="Comic Sans MS"/>
          <w:color w:val="auto"/>
        </w:rPr>
        <w:t>Assessment, Marking and Feedback Policy</w:t>
      </w:r>
    </w:p>
    <w:p w:rsidR="00A73C3B" w:rsidRPr="003A4ECE" w:rsidRDefault="00D24BF4">
      <w:pPr>
        <w:pStyle w:val="ListBullet"/>
        <w:rPr>
          <w:rFonts w:ascii="Comic Sans MS" w:hAnsi="Comic Sans MS"/>
          <w:color w:val="auto"/>
        </w:rPr>
      </w:pPr>
      <w:r w:rsidRPr="003A4ECE">
        <w:rPr>
          <w:rFonts w:ascii="Comic Sans MS" w:hAnsi="Comic Sans MS"/>
          <w:color w:val="auto"/>
        </w:rPr>
        <w:t>Inclusive Communication Policy</w:t>
      </w:r>
    </w:p>
    <w:p w:rsidR="00A73C3B" w:rsidRPr="003A4ECE" w:rsidRDefault="00D24BF4">
      <w:pPr>
        <w:pStyle w:val="ListBullet"/>
        <w:rPr>
          <w:rFonts w:ascii="Comic Sans MS" w:hAnsi="Comic Sans MS"/>
          <w:color w:val="auto"/>
        </w:rPr>
      </w:pPr>
      <w:r w:rsidRPr="003A4ECE">
        <w:rPr>
          <w:rFonts w:ascii="Comic Sans MS" w:hAnsi="Comic Sans MS"/>
          <w:color w:val="auto"/>
        </w:rPr>
        <w:lastRenderedPageBreak/>
        <w:t xml:space="preserve">SEND Policy and SEN </w:t>
      </w:r>
      <w:r w:rsidRPr="003A4ECE">
        <w:rPr>
          <w:rFonts w:ascii="Comic Sans MS" w:hAnsi="Comic Sans MS"/>
          <w:color w:val="auto"/>
        </w:rPr>
        <w:t>Information Report</w:t>
      </w:r>
    </w:p>
    <w:p w:rsidR="00A73C3B" w:rsidRPr="003A4ECE" w:rsidRDefault="00D24BF4">
      <w:pPr>
        <w:pStyle w:val="ListBullet"/>
        <w:rPr>
          <w:rFonts w:ascii="Comic Sans MS" w:hAnsi="Comic Sans MS"/>
          <w:color w:val="auto"/>
        </w:rPr>
      </w:pPr>
      <w:r w:rsidRPr="003A4ECE">
        <w:rPr>
          <w:rFonts w:ascii="Comic Sans MS" w:hAnsi="Comic Sans MS"/>
          <w:color w:val="auto"/>
        </w:rPr>
        <w:t>Behaviour Policy</w:t>
      </w:r>
    </w:p>
    <w:p w:rsidR="00A73C3B" w:rsidRPr="003A4ECE" w:rsidRDefault="00D24BF4">
      <w:pPr>
        <w:pStyle w:val="ListBullet"/>
        <w:rPr>
          <w:rFonts w:ascii="Comic Sans MS" w:hAnsi="Comic Sans MS"/>
          <w:color w:val="auto"/>
        </w:rPr>
      </w:pPr>
      <w:r w:rsidRPr="003A4ECE">
        <w:rPr>
          <w:rFonts w:ascii="Comic Sans MS" w:hAnsi="Comic Sans MS"/>
          <w:color w:val="auto"/>
        </w:rPr>
        <w:t>Safeguarding and Child Protection Policy</w:t>
      </w:r>
    </w:p>
    <w:p w:rsidR="00A73C3B" w:rsidRPr="003A4ECE" w:rsidRDefault="00D24BF4">
      <w:pPr>
        <w:pStyle w:val="ListBullet"/>
        <w:rPr>
          <w:rFonts w:ascii="Comic Sans MS" w:hAnsi="Comic Sans MS"/>
          <w:color w:val="auto"/>
        </w:rPr>
      </w:pPr>
      <w:r w:rsidRPr="003A4ECE">
        <w:rPr>
          <w:rFonts w:ascii="Comic Sans MS" w:hAnsi="Comic Sans MS"/>
          <w:color w:val="auto"/>
        </w:rPr>
        <w:t>Equality Information and Objectives</w:t>
      </w:r>
    </w:p>
    <w:p w:rsidR="00A73C3B" w:rsidRPr="003A4ECE" w:rsidRDefault="00D24BF4">
      <w:pPr>
        <w:pStyle w:val="ListBullet"/>
        <w:rPr>
          <w:rFonts w:ascii="Comic Sans MS" w:hAnsi="Comic Sans MS"/>
          <w:color w:val="auto"/>
        </w:rPr>
      </w:pPr>
      <w:r w:rsidRPr="003A4ECE">
        <w:rPr>
          <w:rFonts w:ascii="Comic Sans MS" w:hAnsi="Comic Sans MS"/>
          <w:color w:val="auto"/>
        </w:rPr>
        <w:t>Subject policies and pathway overviews</w:t>
      </w:r>
    </w:p>
    <w:p w:rsidR="00A73C3B" w:rsidRPr="003A4ECE" w:rsidRDefault="00D24BF4">
      <w:pPr>
        <w:pStyle w:val="Heading1"/>
        <w:rPr>
          <w:rFonts w:ascii="Comic Sans MS" w:hAnsi="Comic Sans MS"/>
          <w:color w:val="auto"/>
        </w:rPr>
      </w:pPr>
      <w:r w:rsidRPr="003A4ECE">
        <w:rPr>
          <w:rFonts w:ascii="Comic Sans MS" w:hAnsi="Comic Sans MS"/>
          <w:color w:val="auto"/>
        </w:rPr>
        <w:t>Reference framework</w:t>
      </w:r>
    </w:p>
    <w:p w:rsidR="00A73C3B" w:rsidRPr="003A4ECE" w:rsidRDefault="00D24BF4">
      <w:pPr>
        <w:pStyle w:val="ListBullet"/>
        <w:rPr>
          <w:rFonts w:ascii="Comic Sans MS" w:hAnsi="Comic Sans MS"/>
          <w:color w:val="auto"/>
        </w:rPr>
      </w:pPr>
      <w:r w:rsidRPr="003A4ECE">
        <w:rPr>
          <w:rFonts w:ascii="Comic Sans MS" w:hAnsi="Comic Sans MS"/>
          <w:color w:val="auto"/>
        </w:rPr>
        <w:t>Early Years Foundation Stage statutory framework</w:t>
      </w:r>
    </w:p>
    <w:p w:rsidR="00A73C3B" w:rsidRPr="003A4ECE" w:rsidRDefault="00D24BF4">
      <w:pPr>
        <w:pStyle w:val="ListBullet"/>
        <w:rPr>
          <w:rFonts w:ascii="Comic Sans MS" w:hAnsi="Comic Sans MS"/>
          <w:color w:val="auto"/>
        </w:rPr>
      </w:pPr>
      <w:r w:rsidRPr="003A4ECE">
        <w:rPr>
          <w:rFonts w:ascii="Comic Sans MS" w:hAnsi="Comic Sans MS"/>
          <w:color w:val="auto"/>
        </w:rPr>
        <w:t>National Curriculum in England</w:t>
      </w:r>
    </w:p>
    <w:p w:rsidR="00A73C3B" w:rsidRPr="003A4ECE" w:rsidRDefault="00D24BF4">
      <w:pPr>
        <w:pStyle w:val="ListBullet"/>
        <w:rPr>
          <w:rFonts w:ascii="Comic Sans MS" w:hAnsi="Comic Sans MS"/>
          <w:color w:val="auto"/>
        </w:rPr>
      </w:pPr>
      <w:r w:rsidRPr="003A4ECE">
        <w:rPr>
          <w:rFonts w:ascii="Comic Sans MS" w:hAnsi="Comic Sans MS"/>
          <w:color w:val="auto"/>
        </w:rPr>
        <w:t>Children and Families Act 2014 and SEND Code of Practice: 0 to 25 years</w:t>
      </w:r>
    </w:p>
    <w:p w:rsidR="00A73C3B" w:rsidRPr="003A4ECE" w:rsidRDefault="00D24BF4">
      <w:pPr>
        <w:pStyle w:val="ListBullet"/>
        <w:rPr>
          <w:rFonts w:ascii="Comic Sans MS" w:hAnsi="Comic Sans MS"/>
          <w:color w:val="auto"/>
        </w:rPr>
      </w:pPr>
      <w:r w:rsidRPr="003A4ECE">
        <w:rPr>
          <w:rFonts w:ascii="Comic Sans MS" w:hAnsi="Comic Sans MS"/>
          <w:color w:val="auto"/>
        </w:rPr>
        <w:t>Equality Act 2010</w:t>
      </w:r>
    </w:p>
    <w:p w:rsidR="00A73C3B" w:rsidRPr="003A4ECE" w:rsidRDefault="00D24BF4">
      <w:pPr>
        <w:pStyle w:val="ListBullet"/>
        <w:rPr>
          <w:rFonts w:ascii="Comic Sans MS" w:hAnsi="Comic Sans MS"/>
          <w:color w:val="auto"/>
        </w:rPr>
      </w:pPr>
      <w:r w:rsidRPr="003A4ECE">
        <w:rPr>
          <w:rFonts w:ascii="Comic Sans MS" w:hAnsi="Comic Sans MS"/>
          <w:color w:val="auto"/>
        </w:rPr>
        <w:t>Keeping Children Safe in Education</w:t>
      </w:r>
    </w:p>
    <w:p w:rsidR="00A73C3B" w:rsidRPr="003A4ECE" w:rsidRDefault="00D24BF4">
      <w:pPr>
        <w:pStyle w:val="ListBullet"/>
        <w:rPr>
          <w:rFonts w:ascii="Comic Sans MS" w:hAnsi="Comic Sans MS"/>
          <w:color w:val="auto"/>
        </w:rPr>
      </w:pPr>
      <w:r w:rsidRPr="003A4ECE">
        <w:rPr>
          <w:rFonts w:ascii="Comic Sans MS" w:hAnsi="Comic Sans MS"/>
          <w:color w:val="auto"/>
        </w:rPr>
        <w:t>DfE statutory guidance for relationships, sex and health education and careers guidance, as applicable</w:t>
      </w:r>
    </w:p>
    <w:p w:rsidR="00A73C3B" w:rsidRPr="003A4ECE" w:rsidRDefault="00D24BF4">
      <w:pPr>
        <w:pStyle w:val="ListBullet"/>
        <w:rPr>
          <w:rFonts w:ascii="Comic Sans MS" w:hAnsi="Comic Sans MS"/>
          <w:color w:val="auto"/>
        </w:rPr>
      </w:pPr>
      <w:r w:rsidRPr="003A4ECE">
        <w:rPr>
          <w:rFonts w:ascii="Comic Sans MS" w:hAnsi="Comic Sans MS"/>
          <w:color w:val="auto"/>
        </w:rPr>
        <w:t>Current Ofsted inspection gu</w:t>
      </w:r>
      <w:r w:rsidRPr="003A4ECE">
        <w:rPr>
          <w:rFonts w:ascii="Comic Sans MS" w:hAnsi="Comic Sans MS"/>
          <w:color w:val="auto"/>
        </w:rPr>
        <w:t>idance and toolkit</w:t>
      </w:r>
    </w:p>
    <w:p w:rsidR="00A73C3B" w:rsidRPr="003A4ECE" w:rsidRDefault="00D24BF4">
      <w:pPr>
        <w:rPr>
          <w:rFonts w:ascii="Comic Sans MS" w:hAnsi="Comic Sans MS"/>
          <w:color w:val="auto"/>
        </w:rPr>
      </w:pPr>
      <w:r w:rsidRPr="003A4ECE">
        <w:rPr>
          <w:rFonts w:ascii="Comic Sans MS" w:hAnsi="Comic Sans MS"/>
          <w:color w:val="auto"/>
        </w:rPr>
        <w:t>Ofsted does not prescribe a particular format for planning, teaching, assessment, marking or monitoring. The school’s approach is designed to be proportionate, sustainable and focused on curriculum quality and pupil impact.</w:t>
      </w:r>
    </w:p>
    <w:sectPr w:rsidR="00A73C3B" w:rsidRPr="003A4ECE"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BF4" w:rsidRDefault="00D24BF4">
      <w:pPr>
        <w:spacing w:after="0" w:line="240" w:lineRule="auto"/>
      </w:pPr>
      <w:r>
        <w:separator/>
      </w:r>
    </w:p>
  </w:endnote>
  <w:endnote w:type="continuationSeparator" w:id="0">
    <w:p w:rsidR="00D24BF4" w:rsidRDefault="00D24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Aptos">
    <w:altName w:val="Times New Roman"/>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ECE" w:rsidRPr="003A4ECE" w:rsidRDefault="003A4ECE">
    <w:pPr>
      <w:pStyle w:val="Footer"/>
      <w:jc w:val="center"/>
      <w:rPr>
        <w:rFonts w:ascii="Comic Sans MS" w:hAnsi="Comic Sans MS"/>
        <w:sz w:val="16"/>
      </w:rPr>
    </w:pPr>
    <w:r w:rsidRPr="003A4ECE">
      <w:rPr>
        <w:rFonts w:ascii="Comic Sans MS" w:hAnsi="Comic Sans MS"/>
        <w:sz w:val="16"/>
      </w:rPr>
      <w:t xml:space="preserve">Teaching and Learning </w:t>
    </w:r>
    <w:r w:rsidR="00DE19F8">
      <w:rPr>
        <w:rFonts w:ascii="Comic Sans MS" w:hAnsi="Comic Sans MS"/>
        <w:sz w:val="16"/>
      </w:rPr>
      <w:t>| 2026–2027</w:t>
    </w:r>
    <w:r w:rsidR="00D24BF4" w:rsidRPr="003A4ECE">
      <w:rPr>
        <w:rFonts w:ascii="Comic Sans MS" w:hAnsi="Comic Sans MS"/>
        <w:sz w:val="16"/>
      </w:rPr>
      <w:t xml:space="preserve"> | </w:t>
    </w:r>
  </w:p>
  <w:p w:rsidR="00A73C3B" w:rsidRPr="003A4ECE" w:rsidRDefault="00D24BF4">
    <w:pPr>
      <w:pStyle w:val="Footer"/>
      <w:jc w:val="center"/>
      <w:rPr>
        <w:rFonts w:ascii="Comic Sans MS" w:hAnsi="Comic Sans MS"/>
      </w:rPr>
    </w:pPr>
    <w:r w:rsidRPr="003A4ECE">
      <w:rPr>
        <w:rFonts w:ascii="Comic Sans MS" w:hAnsi="Comic Sans MS"/>
        <w:sz w:val="16"/>
      </w:rPr>
      <w:t xml:space="preserve"> </w:t>
    </w:r>
    <w:r w:rsidRPr="003A4ECE">
      <w:rPr>
        <w:rFonts w:ascii="Comic Sans MS" w:hAnsi="Comic Sans MS"/>
      </w:rPr>
      <w:fldChar w:fldCharType="begin"/>
    </w:r>
    <w:r w:rsidRPr="003A4ECE">
      <w:rPr>
        <w:rFonts w:ascii="Comic Sans MS" w:hAnsi="Comic Sans MS"/>
      </w:rPr>
      <w:instrText>PAGE</w:instrText>
    </w:r>
    <w:r w:rsidRPr="003A4ECE">
      <w:rPr>
        <w:rFonts w:ascii="Comic Sans MS" w:hAnsi="Comic Sans MS"/>
      </w:rPr>
      <w:fldChar w:fldCharType="separate"/>
    </w:r>
    <w:r w:rsidR="00DE19F8">
      <w:rPr>
        <w:rFonts w:ascii="Comic Sans MS" w:hAnsi="Comic Sans MS"/>
        <w:noProof/>
      </w:rPr>
      <w:t>5</w:t>
    </w:r>
    <w:r w:rsidRPr="003A4ECE">
      <w:rPr>
        <w:rFonts w:ascii="Comic Sans MS" w:hAnsi="Comic Sans MS"/>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BF4" w:rsidRDefault="00D24BF4">
      <w:pPr>
        <w:spacing w:after="0" w:line="240" w:lineRule="auto"/>
      </w:pPr>
      <w:r>
        <w:separator/>
      </w:r>
    </w:p>
  </w:footnote>
  <w:footnote w:type="continuationSeparator" w:id="0">
    <w:p w:rsidR="00D24BF4" w:rsidRDefault="00D24B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A4ECE"/>
    <w:rsid w:val="00A73C3B"/>
    <w:rsid w:val="00AA1D8D"/>
    <w:rsid w:val="00B47730"/>
    <w:rsid w:val="00CB0664"/>
    <w:rsid w:val="00D24BF4"/>
    <w:rsid w:val="00DE19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18342A"/>
  <w14:defaultImageDpi w14:val="300"/>
  <w15:docId w15:val="{05489CFB-B50F-42D0-8E8B-CD0DF7279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color w:val="1F1F1F"/>
      <w:sz w:val="20"/>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2F75B5"/>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contextualSpacing/>
    </w:pPr>
    <w:rPr>
      <w:rFonts w:asciiTheme="majorHAnsi" w:eastAsiaTheme="majorEastAsia" w:hAnsiTheme="majorHAnsi" w:cstheme="majorBidi"/>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80"/>
    </w:pPr>
    <w:rPr>
      <w:rFonts w:asciiTheme="majorHAnsi" w:eastAsiaTheme="majorEastAsia" w:hAnsiTheme="majorHAnsi" w:cstheme="majorBidi"/>
      <w:i/>
      <w:iCs/>
      <w:color w:val="666666"/>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style>
  <w:style w:type="paragraph" w:styleId="ListBullet2">
    <w:name w:val="List Bullet 2"/>
    <w:basedOn w:val="Normal"/>
    <w:uiPriority w:val="99"/>
    <w:unhideWhenUsed/>
    <w:rsid w:val="00326F90"/>
    <w:pPr>
      <w:numPr>
        <w:numId w:val="2"/>
      </w:numPr>
      <w:spacing w:after="4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FDB25-B271-418A-8D4F-31BD5D34D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Irwin</cp:lastModifiedBy>
  <cp:revision>3</cp:revision>
  <dcterms:created xsi:type="dcterms:W3CDTF">2013-12-23T23:15:00Z</dcterms:created>
  <dcterms:modified xsi:type="dcterms:W3CDTF">2026-08-28T13:57:00Z</dcterms:modified>
  <cp:category/>
</cp:coreProperties>
</file>