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B3" w:rsidRPr="00AC29B3" w:rsidRDefault="006A2E29" w:rsidP="00AC29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KS4 Pathway 20</w:t>
      </w:r>
      <w:bookmarkStart w:id="0" w:name="_GoBack"/>
      <w:bookmarkEnd w:id="0"/>
      <w:r w:rsidR="00AC29B3" w:rsidRPr="00AC29B3">
        <w:rPr>
          <w:rFonts w:ascii="Comic Sans MS" w:hAnsi="Comic Sans MS"/>
          <w:sz w:val="32"/>
          <w:szCs w:val="32"/>
        </w:rPr>
        <w:t>24</w:t>
      </w:r>
      <w:r w:rsidR="00AC29B3">
        <w:rPr>
          <w:rFonts w:ascii="Comic Sans MS" w:hAnsi="Comic Sans MS"/>
          <w:sz w:val="32"/>
          <w:szCs w:val="32"/>
        </w:rPr>
        <w:t xml:space="preserve"> Summer Overview</w:t>
      </w:r>
    </w:p>
    <w:p w:rsidR="000134F2" w:rsidRDefault="00AC29B3" w:rsidP="00AC29B3">
      <w:pPr>
        <w:rPr>
          <w:rFonts w:ascii="Comic Sans MS" w:hAnsi="Comic Sans MS"/>
          <w:sz w:val="32"/>
          <w:szCs w:val="32"/>
        </w:rPr>
      </w:pPr>
      <w:r w:rsidRPr="00AC29B3">
        <w:rPr>
          <w:rFonts w:ascii="Comic Sans MS" w:hAnsi="Comic Sans MS"/>
          <w:sz w:val="32"/>
          <w:szCs w:val="32"/>
        </w:rPr>
        <w:t>Woodpecker working towards Gold/Silver and Entry 3 /2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114"/>
        <w:gridCol w:w="5670"/>
        <w:gridCol w:w="5103"/>
      </w:tblGrid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Maths </w:t>
            </w:r>
          </w:p>
        </w:tc>
        <w:tc>
          <w:tcPr>
            <w:tcW w:w="10773" w:type="dxa"/>
            <w:gridSpan w:val="2"/>
          </w:tcPr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 – Unit 4 </w:t>
            </w:r>
            <w:r w:rsidRPr="00C171DF">
              <w:rPr>
                <w:rFonts w:ascii="Comic Sans MS" w:hAnsi="Comic Sans MS"/>
                <w:sz w:val="20"/>
                <w:szCs w:val="20"/>
              </w:rPr>
              <w:t>COMPONENT 4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Coins to values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Adding coins to 20p, extending to adding £1/£2 coins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Different ways of making amounts to 20p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Value of money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 xml:space="preserve">Converting £ </w:t>
            </w:r>
            <w:proofErr w:type="spellStart"/>
            <w:r w:rsidRPr="00C171DF">
              <w:rPr>
                <w:rFonts w:ascii="Comic Sans MS" w:hAnsi="Comic Sans MS"/>
                <w:sz w:val="20"/>
                <w:szCs w:val="20"/>
              </w:rPr>
              <w:t>to p</w:t>
            </w:r>
            <w:proofErr w:type="spellEnd"/>
            <w:r w:rsidRPr="00C171DF">
              <w:rPr>
                <w:rFonts w:ascii="Comic Sans MS" w:hAnsi="Comic Sans MS"/>
                <w:sz w:val="20"/>
                <w:szCs w:val="20"/>
              </w:rPr>
              <w:t xml:space="preserve"> (decimal notation)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Find the coins needed to make the total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Find the notes needed to make a total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Different ways of making the same amount up to £100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Change from £1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Change from £100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Value of money (buying items)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Equivalent amounts up to £20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Decimal notation for money up to £20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Interpret a calculator display (linking money)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Word problems involving what to buy and how to pay (coins used/how much altogether/how much more is needed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Adding amounts and giving change (up to £100)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Most/least money</w:t>
            </w:r>
          </w:p>
          <w:p w:rsidR="00AC29B3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Functional Skills. </w:t>
            </w:r>
            <w:r w:rsidRPr="00C171DF">
              <w:rPr>
                <w:rFonts w:ascii="Comic Sans MS" w:hAnsi="Comic Sans MS"/>
                <w:sz w:val="20"/>
                <w:szCs w:val="20"/>
              </w:rPr>
              <w:t>Revisit areas/Complete missing assessments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C171DF" w:rsidRDefault="00AC29B3" w:rsidP="00AC29B3">
            <w:pPr>
              <w:spacing w:line="25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1DF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:rsidR="00AC29B3" w:rsidRPr="00C171DF" w:rsidRDefault="00AC29B3" w:rsidP="00AC29B3">
            <w:pPr>
              <w:spacing w:line="256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C171DF">
              <w:rPr>
                <w:rFonts w:ascii="Comic Sans MS" w:hAnsi="Comic Sans MS"/>
                <w:i/>
                <w:sz w:val="20"/>
                <w:szCs w:val="20"/>
              </w:rPr>
              <w:t>(component 1 –  non-fiction</w:t>
            </w:r>
            <w:r w:rsidRPr="00C171DF">
              <w:rPr>
                <w:sz w:val="20"/>
                <w:szCs w:val="20"/>
              </w:rPr>
              <w:t xml:space="preserve"> </w:t>
            </w:r>
            <w:r w:rsidRPr="00C171DF">
              <w:rPr>
                <w:rFonts w:ascii="Comic Sans MS" w:hAnsi="Comic Sans MS"/>
                <w:i/>
                <w:sz w:val="20"/>
                <w:szCs w:val="20"/>
              </w:rPr>
              <w:t xml:space="preserve">presenting, responding to questions and feedback, </w:t>
            </w:r>
          </w:p>
          <w:p w:rsidR="00AC29B3" w:rsidRPr="00C171DF" w:rsidRDefault="00AC29B3" w:rsidP="00AC29B3">
            <w:pPr>
              <w:spacing w:line="256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C171DF">
              <w:rPr>
                <w:rFonts w:ascii="Comic Sans MS" w:hAnsi="Comic Sans MS"/>
                <w:i/>
                <w:sz w:val="20"/>
                <w:szCs w:val="20"/>
              </w:rPr>
              <w:t>comparing 2/3 transactional texts, transactional writing)</w:t>
            </w:r>
            <w:r w:rsidRPr="00C171DF">
              <w:rPr>
                <w:rFonts w:ascii="Comic Sans MS" w:hAnsi="Comic Sans MS"/>
                <w:i/>
                <w:sz w:val="20"/>
                <w:szCs w:val="20"/>
              </w:rPr>
              <w:t xml:space="preserve"> –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AC29B3" w:rsidRDefault="00AC29B3" w:rsidP="00AC29B3">
            <w:pPr>
              <w:spacing w:line="25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C29B3">
              <w:rPr>
                <w:rFonts w:ascii="Comic Sans MS" w:hAnsi="Comic Sans MS"/>
                <w:b/>
                <w:sz w:val="16"/>
                <w:szCs w:val="16"/>
              </w:rPr>
              <w:t>Science Fiction</w:t>
            </w:r>
          </w:p>
          <w:p w:rsidR="00AC29B3" w:rsidRDefault="00AC29B3" w:rsidP="00AC29B3">
            <w:pPr>
              <w:spacing w:line="25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C29B3">
              <w:rPr>
                <w:rFonts w:ascii="Comic Sans MS" w:hAnsi="Comic Sans MS"/>
                <w:b/>
                <w:sz w:val="16"/>
                <w:szCs w:val="16"/>
              </w:rPr>
              <w:t>(component 2 –  fiction - comparing 2 literary texts, creative writing, Inc. poetry)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PDP (gold)</w:t>
            </w:r>
          </w:p>
        </w:tc>
        <w:tc>
          <w:tcPr>
            <w:tcW w:w="10773" w:type="dxa"/>
            <w:gridSpan w:val="2"/>
          </w:tcPr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Module 10 The Wider World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Choose 4 A challenges to suit the ability and nature of your students</w:t>
            </w:r>
          </w:p>
          <w:p w:rsidR="00C171DF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AC29B3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Choose 1 or 2 B challenges *Woodpecker will do both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PSD</w:t>
            </w:r>
          </w:p>
        </w:tc>
        <w:tc>
          <w:tcPr>
            <w:tcW w:w="10773" w:type="dxa"/>
            <w:gridSpan w:val="2"/>
          </w:tcPr>
          <w:p w:rsidR="00AC29B3" w:rsidRPr="00C171DF" w:rsidRDefault="00C171DF" w:rsidP="00AC29B3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Parenting Awareness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Employability</w:t>
            </w:r>
          </w:p>
        </w:tc>
        <w:tc>
          <w:tcPr>
            <w:tcW w:w="10773" w:type="dxa"/>
            <w:gridSpan w:val="2"/>
          </w:tcPr>
          <w:p w:rsidR="00AC29B3" w:rsidRPr="00C171DF" w:rsidRDefault="00C171DF" w:rsidP="00C171DF">
            <w:pPr>
              <w:rPr>
                <w:rFonts w:ascii="Comic Sans MS" w:hAnsi="Comic Sans MS"/>
                <w:sz w:val="20"/>
                <w:szCs w:val="20"/>
              </w:rPr>
            </w:pPr>
            <w:r w:rsidRPr="00C171DF">
              <w:rPr>
                <w:rFonts w:ascii="Comic Sans MS" w:hAnsi="Comic Sans MS"/>
                <w:sz w:val="20"/>
                <w:szCs w:val="20"/>
              </w:rPr>
              <w:t>E3 Planning and Reviewing Learning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OCR Art</w:t>
            </w:r>
          </w:p>
        </w:tc>
        <w:tc>
          <w:tcPr>
            <w:tcW w:w="10773" w:type="dxa"/>
            <w:gridSpan w:val="2"/>
          </w:tcPr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Body Decoration</w:t>
            </w:r>
          </w:p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 xml:space="preserve">Learning and Materials - </w:t>
            </w:r>
          </w:p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 xml:space="preserve">Students are introduced to body decoration from different cultures including Ta </w:t>
            </w:r>
            <w:proofErr w:type="spellStart"/>
            <w:r w:rsidRPr="00955714">
              <w:rPr>
                <w:rFonts w:ascii="Comic Sans MS" w:hAnsi="Comic Sans MS"/>
                <w:sz w:val="20"/>
                <w:szCs w:val="20"/>
              </w:rPr>
              <w:t>Moko</w:t>
            </w:r>
            <w:proofErr w:type="spellEnd"/>
            <w:r w:rsidRPr="00955714">
              <w:rPr>
                <w:rFonts w:ascii="Comic Sans MS" w:hAnsi="Comic Sans MS"/>
                <w:sz w:val="20"/>
                <w:szCs w:val="20"/>
              </w:rPr>
              <w:t>, Mehndi and Tahitian tattooing. Students will work with different techniques and materials. Students will explore pattern, composition and blending colours.</w:t>
            </w:r>
          </w:p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 xml:space="preserve">Artists – </w:t>
            </w:r>
          </w:p>
          <w:p w:rsidR="00AC29B3" w:rsidRDefault="00955714" w:rsidP="00955714">
            <w:pPr>
              <w:rPr>
                <w:rFonts w:ascii="Comic Sans MS" w:hAnsi="Comic Sans MS"/>
                <w:sz w:val="32"/>
                <w:szCs w:val="32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Tribal artists and craftspeople from Polynesia, Asia, Africa and Native American Indian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OCR PE</w:t>
            </w:r>
          </w:p>
        </w:tc>
        <w:tc>
          <w:tcPr>
            <w:tcW w:w="10773" w:type="dxa"/>
            <w:gridSpan w:val="2"/>
          </w:tcPr>
          <w:p w:rsidR="00AC29B3" w:rsidRPr="00955714" w:rsidRDefault="00955714" w:rsidP="00AC29B3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Preparation for Exam Moderation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Science</w:t>
            </w:r>
          </w:p>
        </w:tc>
        <w:tc>
          <w:tcPr>
            <w:tcW w:w="10773" w:type="dxa"/>
            <w:gridSpan w:val="2"/>
          </w:tcPr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Module 6 Performance in Sport</w:t>
            </w:r>
          </w:p>
          <w:p w:rsidR="00AC29B3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(choose 1or 2 B challenges to suit the ability and nature of your students)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SRE</w:t>
            </w:r>
          </w:p>
        </w:tc>
        <w:tc>
          <w:tcPr>
            <w:tcW w:w="10773" w:type="dxa"/>
            <w:gridSpan w:val="2"/>
          </w:tcPr>
          <w:p w:rsidR="00955714" w:rsidRPr="00955714" w:rsidRDefault="00955714" w:rsidP="00955714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Module 3 Sexual Activity and Behaviour</w:t>
            </w:r>
          </w:p>
          <w:p w:rsidR="00AC29B3" w:rsidRDefault="00955714" w:rsidP="00955714">
            <w:pPr>
              <w:rPr>
                <w:rFonts w:ascii="Comic Sans MS" w:hAnsi="Comic Sans MS"/>
                <w:sz w:val="32"/>
                <w:szCs w:val="32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 xml:space="preserve"> (choose 5 A challenges to suit the ability and nature of your students)</w:t>
            </w:r>
          </w:p>
        </w:tc>
      </w:tr>
      <w:tr w:rsidR="00AC29B3" w:rsidTr="00464F4E">
        <w:tc>
          <w:tcPr>
            <w:tcW w:w="3114" w:type="dxa"/>
          </w:tcPr>
          <w:p w:rsidR="00AC29B3" w:rsidRDefault="00955714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</w:t>
            </w:r>
            <w:r w:rsidR="00AC29B3"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n</w:t>
            </w:r>
            <w:proofErr w:type="spellEnd"/>
            <w:r w:rsidR="00AC29B3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AC29B3">
              <w:rPr>
                <w:rFonts w:ascii="Comic Sans MS" w:hAnsi="Comic Sans MS"/>
                <w:sz w:val="32"/>
                <w:szCs w:val="32"/>
              </w:rPr>
              <w:t>Foodwise</w:t>
            </w:r>
            <w:proofErr w:type="spellEnd"/>
          </w:p>
        </w:tc>
        <w:tc>
          <w:tcPr>
            <w:tcW w:w="10773" w:type="dxa"/>
            <w:gridSpan w:val="2"/>
          </w:tcPr>
          <w:p w:rsidR="00AC29B3" w:rsidRPr="00955714" w:rsidRDefault="00955714" w:rsidP="00AC29B3">
            <w:pPr>
              <w:rPr>
                <w:rFonts w:ascii="Comic Sans MS" w:hAnsi="Comic Sans MS"/>
                <w:sz w:val="20"/>
                <w:szCs w:val="20"/>
              </w:rPr>
            </w:pPr>
            <w:r w:rsidRPr="00955714">
              <w:rPr>
                <w:rFonts w:ascii="Comic Sans MS" w:hAnsi="Comic Sans MS"/>
                <w:sz w:val="20"/>
                <w:szCs w:val="20"/>
              </w:rPr>
              <w:t>Mod</w:t>
            </w:r>
            <w:r>
              <w:rPr>
                <w:rFonts w:ascii="Comic Sans MS" w:hAnsi="Comic Sans MS"/>
                <w:sz w:val="20"/>
                <w:szCs w:val="20"/>
              </w:rPr>
              <w:t>ule</w:t>
            </w:r>
            <w:r w:rsidRPr="00955714">
              <w:rPr>
                <w:rFonts w:ascii="Comic Sans MS" w:hAnsi="Comic Sans MS"/>
                <w:sz w:val="20"/>
                <w:szCs w:val="20"/>
              </w:rPr>
              <w:t xml:space="preserve"> 5 Entertaining</w:t>
            </w:r>
          </w:p>
        </w:tc>
      </w:tr>
      <w:tr w:rsidR="00AC29B3" w:rsidTr="00464F4E">
        <w:tc>
          <w:tcPr>
            <w:tcW w:w="3114" w:type="dxa"/>
          </w:tcPr>
          <w:p w:rsidR="00AC29B3" w:rsidRDefault="00AC29B3" w:rsidP="00AC29B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Asdan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ICT</w:t>
            </w:r>
          </w:p>
        </w:tc>
        <w:tc>
          <w:tcPr>
            <w:tcW w:w="10773" w:type="dxa"/>
            <w:gridSpan w:val="2"/>
          </w:tcPr>
          <w:p w:rsidR="00AC29B3" w:rsidRPr="00464F4E" w:rsidRDefault="00464F4E" w:rsidP="00AC29B3">
            <w:pPr>
              <w:rPr>
                <w:rFonts w:ascii="Comic Sans MS" w:hAnsi="Comic Sans MS"/>
                <w:sz w:val="20"/>
                <w:szCs w:val="20"/>
              </w:rPr>
            </w:pPr>
            <w:r w:rsidRPr="00464F4E">
              <w:rPr>
                <w:rFonts w:ascii="Comic Sans MS" w:hAnsi="Comic Sans MS"/>
                <w:sz w:val="20"/>
                <w:szCs w:val="20"/>
              </w:rPr>
              <w:t>Preparation for Moderation</w:t>
            </w:r>
          </w:p>
        </w:tc>
      </w:tr>
    </w:tbl>
    <w:p w:rsidR="00AC29B3" w:rsidRDefault="00AC29B3" w:rsidP="00AC29B3">
      <w:pPr>
        <w:rPr>
          <w:rFonts w:ascii="Comic Sans MS" w:hAnsi="Comic Sans MS"/>
          <w:sz w:val="32"/>
          <w:szCs w:val="32"/>
        </w:rPr>
      </w:pPr>
    </w:p>
    <w:p w:rsidR="00AC29B3" w:rsidRPr="00AC29B3" w:rsidRDefault="0095274E" w:rsidP="00AC29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CE21AE7" wp14:editId="792ED9B8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16427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4E">
        <w:rPr>
          <w:noProof/>
          <w:lang w:eastAsia="en-GB"/>
        </w:rPr>
        <mc:AlternateContent>
          <mc:Choice Requires="wps">
            <w:drawing>
              <wp:inline distT="0" distB="0" distL="0" distR="0" wp14:anchorId="065947C3" wp14:editId="2A22C434">
                <wp:extent cx="304800" cy="304800"/>
                <wp:effectExtent l="0" t="0" r="0" b="0"/>
                <wp:docPr id="2" name="AutoShape 2" descr="Green Lane Community Special School – ALPHASCHOOLW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F0F9B" id="AutoShape 2" o:spid="_x0000_s1026" alt="Green Lane Community Special School – ALPHASCHOOLW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FJpOw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AC29B3" w:rsidRPr="00AC29B3" w:rsidSect="00464F4E">
      <w:pgSz w:w="16838" w:h="11906" w:orient="landscape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C"/>
    <w:rsid w:val="000134F2"/>
    <w:rsid w:val="00464F4E"/>
    <w:rsid w:val="00591846"/>
    <w:rsid w:val="006269CC"/>
    <w:rsid w:val="00697A3C"/>
    <w:rsid w:val="006A2E29"/>
    <w:rsid w:val="0095274E"/>
    <w:rsid w:val="00955714"/>
    <w:rsid w:val="00AC03CB"/>
    <w:rsid w:val="00AC29B3"/>
    <w:rsid w:val="00C171DF"/>
    <w:rsid w:val="00C34C31"/>
    <w:rsid w:val="00EE79BB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AEA2EA"/>
  <w15:chartTrackingRefBased/>
  <w15:docId w15:val="{2FCD6580-4C32-435C-844E-0D2745F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Lesley Fernyhough</cp:lastModifiedBy>
  <cp:revision>2</cp:revision>
  <cp:lastPrinted>2024-03-27T15:00:00Z</cp:lastPrinted>
  <dcterms:created xsi:type="dcterms:W3CDTF">2024-03-26T15:04:00Z</dcterms:created>
  <dcterms:modified xsi:type="dcterms:W3CDTF">2024-04-08T13:12:00Z</dcterms:modified>
</cp:coreProperties>
</file>